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166E49">
        <w:rPr>
          <w:rFonts w:ascii="Times New Roman" w:hAnsi="Times New Roman" w:cs="Times New Roman"/>
          <w:sz w:val="28"/>
          <w:szCs w:val="28"/>
          <w:lang w:eastAsia="ru-RU"/>
        </w:rPr>
        <w:t>Утверждено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166E49">
        <w:rPr>
          <w:rFonts w:ascii="Times New Roman" w:hAnsi="Times New Roman" w:cs="Times New Roman"/>
          <w:sz w:val="28"/>
          <w:szCs w:val="28"/>
          <w:lang w:eastAsia="ru-RU"/>
        </w:rPr>
        <w:t>Решением Совета депутатов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166E49">
        <w:rPr>
          <w:rFonts w:ascii="Times New Roman" w:hAnsi="Times New Roman" w:cs="Times New Roman"/>
          <w:sz w:val="28"/>
          <w:szCs w:val="28"/>
          <w:lang w:eastAsia="ru-RU"/>
        </w:rPr>
        <w:t>городского</w:t>
      </w:r>
      <w:proofErr w:type="gramEnd"/>
      <w:r w:rsidRPr="00166E49">
        <w:rPr>
          <w:rFonts w:ascii="Times New Roman" w:hAnsi="Times New Roman" w:cs="Times New Roman"/>
          <w:sz w:val="28"/>
          <w:szCs w:val="28"/>
          <w:lang w:eastAsia="ru-RU"/>
        </w:rPr>
        <w:t xml:space="preserve"> округа Люберцы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166E49">
        <w:rPr>
          <w:rFonts w:ascii="Times New Roman" w:hAnsi="Times New Roman" w:cs="Times New Roman"/>
          <w:sz w:val="28"/>
          <w:szCs w:val="28"/>
          <w:lang w:eastAsia="ru-RU"/>
        </w:rPr>
        <w:t>Московской области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166E49">
        <w:rPr>
          <w:rFonts w:ascii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166E4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10.04.2024 №  152/23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166E49"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</w:p>
    <w:p w:rsidR="00166E49" w:rsidRPr="00166E49" w:rsidRDefault="00166E49" w:rsidP="00166E4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6E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Положение </w:t>
      </w:r>
    </w:p>
    <w:p w:rsidR="00166E49" w:rsidRPr="00166E49" w:rsidRDefault="00166E49" w:rsidP="00166E4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166E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proofErr w:type="gramEnd"/>
      <w:r w:rsidRPr="00166E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порядке размещения нестационарных торговых объектов </w:t>
      </w:r>
    </w:p>
    <w:p w:rsidR="00166E49" w:rsidRPr="00166E49" w:rsidRDefault="00166E49" w:rsidP="00166E4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166E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</w:t>
      </w:r>
      <w:proofErr w:type="gramEnd"/>
      <w:r w:rsidRPr="00166E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территории городского округа Люберцы Московской области</w:t>
      </w:r>
    </w:p>
    <w:p w:rsidR="00166E49" w:rsidRPr="00166E49" w:rsidRDefault="00166E49" w:rsidP="00166E4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66E49" w:rsidRPr="00166E49" w:rsidRDefault="00166E49" w:rsidP="00166E49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6E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Общие положения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1.1. Настоящее Положение разработано в целях упорядочения размещения нестационарных торговых объектов, создания условий для улучшения организации и качества торгового обслуживания населения городского округа Люберцы Московской области.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1.2. Настоящее Положение определяет порядок и основания для размещения нестационарных торговых объектов на территории городского округа Люберцы Московской области. 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Настоящее положение не распространяется на размещение нестационарных объектов на территории парковых и иных рекреационных зон, предназначенных для организации досуга, спорта жителей городского округа Люберцы, размещение нестационарных торговых объектов при проведении праздничных, общественно-политических, культурно-массовых и спортивно-массовых мероприятий, имеющих краткосрочный характер, а также при проведении выставок-продаж (срок мероприятий при этом не должен превышать четырнадцать дней), ярмарок и сезонных кафе.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1.3. Нестационарные торговые объекты не являются недвижимым имуществом, не подлежат техническому учету в бюро технической инвентаризации, права на них не подлежат регистрации в Едином государственном реестре недвижимости.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Общим критерием отнесения объектов к временным нестационарным объектам (движимому имуществу) является возможность свободного перемещения указанных объектов без нанесения несоразмерного ущерба их назначению, включая возможность их демонтажа с разборкой на составляющие сборно-разборные перемещаемые конструктивные элементы. Самовольная установка нестационарных торговых объектов на территории городского округа Люберцы Московской области запрещена.</w:t>
      </w:r>
    </w:p>
    <w:p w:rsid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1.4. Размещение нестационарных торговых объектов и сезонных элементов благоустройства при нестационарных торговых объектах на территории городского округа Люберцы Московской области должно соответствовать градостроительным, строительным, архитектурным, пожарным, санитарным нормам, правилам и нормативам, а также иметь соответствующее художественно-декоративное оформление.</w:t>
      </w:r>
    </w:p>
    <w:p w:rsid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lastRenderedPageBreak/>
        <w:t>2. Основные понятия и их определения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2.1. В настоящем Положении применяются следующие основные понятия: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2.1.1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розничная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торговля - вид торговой деятельности, связанный с приобретением и продажей товаров, реализацией услуг для использования их в личных, семейных, домашних и иных целях, не связанных с осуществлением предпринимательской деятельности;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2.1.2. схема размещения нестационарных торговых объектов (далее - Схема) - документ, состоящий из текстовой (в виде таблицы) и графической частей, содержащий информацию об адресных ориентирах, сезонных элементах благоустройства, виде, специализации нестационарного торгового объекта, периоде размещения нестационарного торгового объекта, форме собственности земельного участка, о возможности размещения нестационарного торгового объекта субъектами малого и среднего предпринимательства, физическими   лицами, не являющимися индивидуальными предпринимателями и применяющими специальный налоговой режим «Налог на профессиональный доход» (далее - </w:t>
      </w:r>
      <w:proofErr w:type="spellStart"/>
      <w:r w:rsidRPr="00166E49">
        <w:rPr>
          <w:rFonts w:ascii="Times New Roman" w:eastAsia="Calibri" w:hAnsi="Times New Roman" w:cs="Times New Roman"/>
          <w:sz w:val="28"/>
          <w:szCs w:val="28"/>
        </w:rPr>
        <w:t>самозанятые</w:t>
      </w:r>
      <w:proofErr w:type="spell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лица), разработанный и утвержденный администрацией городского округа Люберцы Московской области;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2.1.3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субъект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торговли - юридическое лицо или физическое лицо, в том числе индивидуальный предприниматель, физическое лицо, применяющее специальный налоговый режим «Налог на профессиональный доход» занимающиеся торговлей или услугами и зарегистрированные в установленном порядке;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2.1.4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стационарный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торговый объект - торговый объект, представляющий собой здание или часть здания, строение или часть строения, прочно связанные фундаментом такого здания, строения с землей и подключенные (технологически присоединенные) к сетям инженерно-технического обеспечения;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2.1.5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нестационарный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торговый объект - торговый объект, представляющий собой временное сооружение или временную конструкцию, не связанную прочно с земельным участком вне зависимости от наличия или отсутствия подключения (технологического присоединения) к сетям инженерно-технического обеспечения, в том числе передвижное сооружение (далее - НТО);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2.1.6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специализация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нестационарного торгового объекта - торговая деятельность, деятельность по реализации услуг, при которой восемьдесят и более процентов всех предлагаемых к продаже товаров (услуг) от их общего количества составляют товары (услуги) одной группы, за исключением деятельности по реализации печатной продукции;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2.1.7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специализация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нестационарного торгового объекта «Печать» - торговая деятельность, при которой пятьдесят и более процентов всех предлагаемых к продаже товаров от их общего количества составляет печатная продукция;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2.1.8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незаконно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размещенный нестационарный торговый объект - нестационарный торговый объект, размещенный и/или эксплуатируемый без </w:t>
      </w:r>
      <w:r w:rsidRPr="00166E49">
        <w:rPr>
          <w:rFonts w:ascii="Times New Roman" w:eastAsia="Calibri" w:hAnsi="Times New Roman" w:cs="Times New Roman"/>
          <w:sz w:val="28"/>
          <w:szCs w:val="28"/>
        </w:rPr>
        <w:lastRenderedPageBreak/>
        <w:t>правовых оснований на его размещение, в том числе в местах, не включенных в Схему. Незаконно размещенный нестационарный торговый объект подлежит принудительному демонтажу в соответствии со статьями 12, 14 Гражданского кодекса Российской Федерации;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2.1.9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аукцион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- торги в виде аукциона в электронной форме открытые по составу участников и форме представления предложения о цене предмета аукциона, победителем которых признается участник, предложивший наиболее высокую цену и по результатам, которых заключается договор на размещение и эксплуатацию нестационарного торгового объекта на территории городского округа Люберцы Московской области (далее – Аукцион);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2.1.10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договор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на размещение и эксплуатацию нестационарного торгового объекта на территории городского округа Люберцы Московской области (далее - Договор) – смешанный договор, который заключается по результатам торгов, проводимых в форме Аукциона;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2.1.11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сезонные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(летние) кафе при стационарных предприятиях общественного питания (далее – сезонные (летние) кафе) – временные сооружения или временные конструкции, предназначенные для дополнительного обслуживания питанием и отдыха, непосредственно примыкающие к капитальному зданию, строению, сооружению или находящиеся в непосредственной близости от здания, строения, сооружения, в котором осуществляется деятельность по оказанию услуг общественного питания предприятием общественного питания.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2.1.12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сезонные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элементы благоустройства – комплекс легковозводимых (в том числе сборно-разборных) конструкций, размещаемых на определенной для него площадке в непосредственной близости к нестационарному торговому объекту в соответствии со схемой и включающий в себя основное оборудование: технологический настил, уличную мебель, декоративные ограждения. Также на площадке может быть размещено дополнительное оборудование: зонты, маркизы, элементы вертикального и контейнерного озеленения, цветочницы, шпалеры;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3. Виды нестационарных торговых объектов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3.1. К нестационарным торговым объектам относятся: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3.1.1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павильон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- оборудованная конструкция, представляющая собой отдельно стоящее строение (часть строения) или сооружение (часть сооружения) с замкнутым пространством, имеющая торговый зал (помещение для оказания услуг), рассчитанная на одно или несколько рабочих мест;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3.1.2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киоск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- оснащенное торговым оборудованием строение, не имеющее торгового зала (помещения для оказания услуг) и помещений для хранения товаров (материалов), рассчитанная на одно рабочее место продавца и хранение товарного запаса;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3.1.3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торговая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галерея - выполненный в едином архитектурном стиле нестационарный торговый объект, состоящий из совокупности, но не более пяти (в одном ряду) специализированных павильонов или киосков, симметрично расположенных напротив друг друга, обеспечивающих </w:t>
      </w:r>
      <w:r w:rsidRPr="00166E4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беспрепятственный проход для покупателей, объединенных под единой временной </w:t>
      </w:r>
      <w:proofErr w:type="spellStart"/>
      <w:r w:rsidRPr="00166E49">
        <w:rPr>
          <w:rFonts w:ascii="Times New Roman" w:eastAsia="Calibri" w:hAnsi="Times New Roman" w:cs="Times New Roman"/>
          <w:sz w:val="28"/>
          <w:szCs w:val="28"/>
        </w:rPr>
        <w:t>светопрозрачной</w:t>
      </w:r>
      <w:proofErr w:type="spell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кровлей, не несущей теплоизоляционную функцию;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3.1.4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торговая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палатка - нестационарный торговый объект, представляющий собой оснащенную прилавком легковозводимую сборно-разборную конструкцию, образующую внутреннее пространство, не замкнутое со стороны прилавка, предназначенный для размещения одного или нескольких рабочих мест продавцов и товарного запаса на один день торговли;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3.1.5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пункт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быстрого питания - павильон или киоск, специализирующийся на продаже изделий из полуфабрикатов высокой степени готовности в потребительской упаковке, обеспечивающей термическую обработку пищевого продукта, в непосредственной близости к которому возможно в весенне-летний период установить сезонные элементы благоустройства, если их размещение предусмотрено Схемой;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3.1.6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объект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мобильной торговли - нестационарный торговый объект, представляющий собой специализированный автомагазин, автолавку или иное специально оборудованное для осуществления розничной торговли транспортное средство;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3.1.7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мобильный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пункт быстрого питания - передвижное сооружение (</w:t>
      </w:r>
      <w:proofErr w:type="spellStart"/>
      <w:r w:rsidRPr="00166E49">
        <w:rPr>
          <w:rFonts w:ascii="Times New Roman" w:eastAsia="Calibri" w:hAnsi="Times New Roman" w:cs="Times New Roman"/>
          <w:sz w:val="28"/>
          <w:szCs w:val="28"/>
        </w:rPr>
        <w:t>автокафе</w:t>
      </w:r>
      <w:proofErr w:type="spellEnd"/>
      <w:r w:rsidRPr="00166E49">
        <w:rPr>
          <w:rFonts w:ascii="Times New Roman" w:eastAsia="Calibri" w:hAnsi="Times New Roman" w:cs="Times New Roman"/>
          <w:sz w:val="28"/>
          <w:szCs w:val="28"/>
        </w:rPr>
        <w:t>), специализирующееся на продаже изделий из полуфабрикатов высокой степени готовности в потребительской упаковке, обеспечивающей термическую обработку пищевого продукта, в непосредственной близости к которому возможно в весенне-летний период установить сезонные элементы благоустройства, если их размещение предусмотрено Схемой;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3.1.8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торговый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автомат (</w:t>
      </w:r>
      <w:proofErr w:type="spellStart"/>
      <w:r w:rsidRPr="00166E49">
        <w:rPr>
          <w:rFonts w:ascii="Times New Roman" w:eastAsia="Calibri" w:hAnsi="Times New Roman" w:cs="Times New Roman"/>
          <w:sz w:val="28"/>
          <w:szCs w:val="28"/>
        </w:rPr>
        <w:t>вендинговый</w:t>
      </w:r>
      <w:proofErr w:type="spell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автомат или иное техническое устройство) - временное техническое устройство, сооружение или конструкция, осуществляющие продажу штучного товара, оказания услуг, оплата и выдача которого осуществляются с помощью технических приспособлений, не требующих непосредственного участия продавца;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3.1.9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бахчевой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развал - специально оборудованная временная конструкция, состоящая из металлического каркаса и модульных элементов, для хранения бахчевых культур, установленная в непосредственной близости к нестационарному торговому объекту (павильону, киоску), через который осуществляется реализация бахчевых культур;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3.1.10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киоск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по продаже плодово-овощной продукции - быстровозводимая конструкция, состоящая из металлического каркаса и модульных элементов, оснащенная прилавком, рассчитанная на одно рабочее место продавца;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3.1.11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ёлочный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базар - специально оборудованная временная конструкция в виде обособленной открытой площадки для новогодней (рождественской) продажи натуральных хвойных деревьев и веток хвойных деревьев, а также товаров с новогодней тематикой;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3.1.12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передвижные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сооружения - изотермические емкости и цистерны, прочие передвижные объекты;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3.1.13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торговая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тележка - нестационарный торговый объект, представляющий собой оснащенную колесным механизмом конструкцию на </w:t>
      </w:r>
      <w:r w:rsidRPr="00166E49">
        <w:rPr>
          <w:rFonts w:ascii="Times New Roman" w:eastAsia="Calibri" w:hAnsi="Times New Roman" w:cs="Times New Roman"/>
          <w:sz w:val="28"/>
          <w:szCs w:val="28"/>
        </w:rPr>
        <w:lastRenderedPageBreak/>
        <w:t>одно рабочее место и предназначенный для перемещения и продажи штучных товаров в потребительской упаковке;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3.1.14. специализированный нестационарный торговый объект для организации реализации продукции сельскохозяйственных товаропроизводителей- выполненный в едином архитектурном решении нестационарный торговый объект, состоящий из соединенных между собой нестационарных торговых объектов, находящихся под общим управлением, в которых не менее восьмидесяти процентов торговых мест от их общего количества предназначено для осуществления продажи товаров сельскохозяйственными товаропроизводителями, в том числе осуществляющими деятельность на территории Московской области;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3.1.15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мобильный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торговый объект – категория нестационарных торговых объектов, к которой  относятся передвижные сооружения, мобильные пункты быстрого питания, объекты мобильной торговли;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3.1.16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выставка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>-продажа, тематический фестиваль – мероприятие, на котором демонстрируются и получают распространение (реализуются) товары, услуги и (или) информация и проходящее в четко установленные сроки и с определенной периодичностью;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3.1.17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пункт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бытового обслуживания – специализированный павильон, киоск или передвижное транспортное средство, в котором восемьдесят и более процентов составляет оказание бытовых услуг и продажа сопутствующих товаров;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3.1.18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объект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реализации сельскохозяйственных и декоративных кустов и растений – нестационарный торговый объект, представляющий собой киоск или павильон со специально оборудованной временной конструкцией в виде обособленной огороженной открытой площадки (экспозиционной и/или декоративной), предназначенной для реализации сельскохозяйственных и декоративных деревьев, кустов и растений и сопутствующих товаров.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4. Схема размещения нестационарных торговых объектов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4.1. Разработка Схемы осуществляется в целях: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4.1.1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создания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условий для улучшения организации и качества торгового обслуживания населения и обеспечения доступности товаров для населения;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4.1.2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установления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единого порядка размещения нестационарных торговых объектов на территории городского округа Люберцы;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4.1.3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достижения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нормативов минимальной обеспеченности населения площадью торговых объектов с учетом нормативов, установленных Правительством Московской области;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6E49">
        <w:rPr>
          <w:rFonts w:ascii="Times New Roman" w:hAnsi="Times New Roman" w:cs="Times New Roman"/>
          <w:sz w:val="28"/>
          <w:szCs w:val="28"/>
        </w:rPr>
        <w:t xml:space="preserve">        4.1.4</w:t>
      </w:r>
      <w:proofErr w:type="gramStart"/>
      <w:r w:rsidRPr="00166E49">
        <w:rPr>
          <w:rFonts w:ascii="Times New Roman" w:hAnsi="Times New Roman" w:cs="Times New Roman"/>
          <w:sz w:val="28"/>
          <w:szCs w:val="28"/>
        </w:rPr>
        <w:t>. оказания</w:t>
      </w:r>
      <w:proofErr w:type="gramEnd"/>
      <w:r w:rsidRPr="00166E49">
        <w:rPr>
          <w:rFonts w:ascii="Times New Roman" w:hAnsi="Times New Roman" w:cs="Times New Roman"/>
          <w:sz w:val="28"/>
          <w:szCs w:val="28"/>
        </w:rPr>
        <w:t xml:space="preserve"> мер поддержки субъектам малого и среднего предпринимательства, </w:t>
      </w:r>
      <w:proofErr w:type="spellStart"/>
      <w:r w:rsidRPr="00166E49">
        <w:rPr>
          <w:rFonts w:ascii="Times New Roman" w:hAnsi="Times New Roman" w:cs="Times New Roman"/>
          <w:sz w:val="28"/>
          <w:szCs w:val="28"/>
        </w:rPr>
        <w:t>самозанятым</w:t>
      </w:r>
      <w:proofErr w:type="spellEnd"/>
      <w:r w:rsidRPr="00166E49">
        <w:rPr>
          <w:rFonts w:ascii="Times New Roman" w:hAnsi="Times New Roman" w:cs="Times New Roman"/>
          <w:sz w:val="28"/>
          <w:szCs w:val="28"/>
        </w:rPr>
        <w:t xml:space="preserve"> лицам, которые являются сельскохозяйственными  товаропроизводителями или осуществляют деятельность на территории Московской области при размещении мобильных торговых объектов;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</w:rPr>
      </w:pPr>
      <w:r w:rsidRPr="00166E49">
        <w:rPr>
          <w:rFonts w:ascii="Times New Roman" w:hAnsi="Times New Roman" w:cs="Times New Roman"/>
          <w:sz w:val="28"/>
          <w:szCs w:val="28"/>
        </w:rPr>
        <w:t>4.1.5</w:t>
      </w:r>
      <w:proofErr w:type="gramStart"/>
      <w:r w:rsidRPr="00166E49">
        <w:rPr>
          <w:rFonts w:ascii="Times New Roman" w:hAnsi="Times New Roman" w:cs="Times New Roman"/>
          <w:sz w:val="28"/>
          <w:szCs w:val="28"/>
        </w:rPr>
        <w:t>. формирования</w:t>
      </w:r>
      <w:proofErr w:type="gramEnd"/>
      <w:r w:rsidRPr="00166E49">
        <w:rPr>
          <w:rFonts w:ascii="Times New Roman" w:hAnsi="Times New Roman" w:cs="Times New Roman"/>
          <w:sz w:val="28"/>
          <w:szCs w:val="28"/>
        </w:rPr>
        <w:t xml:space="preserve"> современной торговой инфраструктуры.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lastRenderedPageBreak/>
        <w:t>4.2. При разработке Схемы учитываются: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4.2.1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особенности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развития торговой деятельности на территории городского округа Люберцы;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4.2.2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необходимость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размещения не менее чем шестидесяти процентов нестационарных торговых объектов, используемых субъектами малого или среднего предпринимательства, </w:t>
      </w:r>
      <w:proofErr w:type="spellStart"/>
      <w:r w:rsidRPr="00166E49">
        <w:rPr>
          <w:rFonts w:ascii="Times New Roman" w:eastAsia="Calibri" w:hAnsi="Times New Roman" w:cs="Times New Roman"/>
          <w:sz w:val="28"/>
          <w:szCs w:val="28"/>
        </w:rPr>
        <w:t>самозанятыми</w:t>
      </w:r>
      <w:proofErr w:type="spell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лицами, осуществляющими торговую деятельность, от общего количества нестационарных торговых объектов;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4.2.3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обеспечение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беспрепятственного развития улично-дорожной сети;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4.2.4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обеспечение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беспрепятственного движения транспорта и пешеходов;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4.2.5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специализация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нестационарного торгового объекта;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4.2.6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обеспечение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соответствия деятельности нестационарных торговых объектов санитарным, противопожарным, экологическим требованиям, правилам продажи отдельных видов товаров, требованиям безопасности для жизни и здоровья людей.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4.3. Утвержденная Схема размещения нестационарных торговых объектов, равно как и внесенные в нее изменения не могут служить основанием для пересмотра мест размещения нестационарных торговых объектов, разрешительная документация на размещение которых была выдана до утверждения (изменения) указанной Схемы.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4.4. Схема, а также изменения и дополнения, внесенные в нее, в течение десяти дней после утверждения подлежат опубликованию в средствах массовой информации и размещению на официальном сайте администрации в информационно-телекоммуникационной сети Интернет.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4.5. В целях создания условий для обеспечения общественного порядка и общественной безопасности на территории городского округа Люберцы копия Схемы направляется в МУ МВД России «Люберецкое», в том числе в ОГИБДД МУ МВД России «Люберецкое».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5. Требования к размещению и внешнему виду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нестационарных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торговых объектов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5.1. Размещение нестационарных торговых объектов, в том числе нестационарных торговых объектов с сезонными элементами благоустройства, должно обеспечивать свободное движение пешеходов и доступ потребителей к торговым объектам, в том числе обеспечение </w:t>
      </w:r>
      <w:proofErr w:type="spellStart"/>
      <w:r w:rsidRPr="00166E49">
        <w:rPr>
          <w:rFonts w:ascii="Times New Roman" w:eastAsia="Calibri" w:hAnsi="Times New Roman" w:cs="Times New Roman"/>
          <w:sz w:val="28"/>
          <w:szCs w:val="28"/>
        </w:rPr>
        <w:t>безбарьерной</w:t>
      </w:r>
      <w:proofErr w:type="spell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среды жизнедеятельности для инвалидов и иных маломобильных групп населения, беспрепятственный подъезд автотранспорта и спецтранспорта при чрезвычайных ситуациях. 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Расстояние между нестационарными торговыми объектами, осуществляющими реализацию одинаковых групп товаров, должно составлять не менее 100 метров, за исключением нестационарных торговых объектов, расположенных в сельских населенных пунктах.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5.2. Внешний вид нестационарных торговых объектов определяется в соответствии с архитектурным обликом нестационарных торговых объектов и требований Правил благоустройства.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lastRenderedPageBreak/>
        <w:t>5.3. Период размещения нестационарного торгового объекта устанавливается с учетом следующих особенностей: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5.3.1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для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мест размещения передвижных сооружений, выносного холодильного оборудования при нестационарном торговом объекте, торговых палаток период размещения устанавливается с 01 апреля по 01 ноября;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5.3.2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для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сезонных элементов благоустройства, размещаемых в непосредственной близости от пунктов быстрого питания и для мобильного пункта быстрого питания период размещения устанавливается с 01 апреля по 15 ноября;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5.3.3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для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мест размещения бахчевых развалов период размещения устанавливается с 01 августа по 01 ноября;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5.3.4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для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мест размещения ёлочных базаров период размещения устанавливается с 01 декабря по 10 января следующего года;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5.3.5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для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иных нестационарных торговых объектов, за исключением предусмотренных в пунктах 5.3.1.- 5.3.4. настоящего Положения, с учетом необходимости обеспечения устойчивого развития территорий, на срок действия Схемы.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5.4. Размещение нестационарных торговых объектов на земельных участках, на которые оформлены земельно-правовые отношения с органом государственной власти или органом местного самоуправления, а также находящихся в частной собственности, осуществляется в соответствии с </w:t>
      </w:r>
      <w:hyperlink w:anchor="P228" w:history="1">
        <w:r w:rsidRPr="00166E49">
          <w:rPr>
            <w:rFonts w:ascii="Times New Roman" w:eastAsia="Calibri" w:hAnsi="Times New Roman" w:cs="Times New Roman"/>
            <w:sz w:val="28"/>
            <w:szCs w:val="28"/>
          </w:rPr>
          <w:t>разделом 8</w:t>
        </w:r>
      </w:hyperlink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5.5. Юридическое лицо, учредителем которого является администрация городского округа Люберцы Московской области, владеющее на праве пользования или на ином вещном праве земельным участком (одним или несколькими) и осуществляющее деятельность в сфере создания условий для массового отдыха населения и (или) благоустройства мест массового отдыха населения, размещает сезонные элементы благоустройства на основании договоров с учетом настоящего Положения.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5.6. Площадки для размещения нестационарных торговых объектов и прилегающая территория должны быть благоустроены.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Размер площадки для размещения сезонных элементов благоустройства не должен превышать 30 квадратных метров. Сезонные элементы благоустройства размещаются на площадке в непосредственной близости от нестационарного торгового объекта. Места для размещения нестационарных торговых объектов, в непосредственной близости к которым можно разместить сезонные элементы благоустройства отражаются в Схеме. 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5.7. Размещение нестационарных торговых объектов не допускается: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5.7.1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в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местах, не включенных в Схему;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5.7.2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на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земельных участках, находящихся в частной собственности, при отсутствии согласия собственника земельного участка и решения администрации городского округа Люберцы, выданного в соответствии с </w:t>
      </w:r>
      <w:hyperlink w:anchor="P228" w:history="1">
        <w:r w:rsidRPr="00166E49">
          <w:rPr>
            <w:rFonts w:ascii="Times New Roman" w:eastAsia="Calibri" w:hAnsi="Times New Roman" w:cs="Times New Roman"/>
            <w:sz w:val="28"/>
            <w:szCs w:val="28"/>
          </w:rPr>
          <w:t>разделом 8</w:t>
        </w:r>
      </w:hyperlink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5.7.3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на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территории выделенных технических (охранных) зон магистральных коллекторов и трубопроводов, кабелей высокого, низкого напряжения и слабых токов, линий высоковольтных передач;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5.7.4. в арках зданий, на газонах (без устройства специального настила), площадках (детских, для отдыха, спортивных, транспортных стоянках), посадочных площадках пассажирского транспорта (в том числе сблокированных с остановочным павильоном), в охранной зоне водопроводных, канализационных, электрических, кабельных сетей связи, трубопроводов, а также ближе 5 м от остановочных павильонов, 25 м - от вентиляционных шахт, 20 м - от окон жилых помещений, перед витринами торговых организаций, 3 м - от ствола дерева, 1,5 м - от внешней границы кроны кустарника; 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5.7.5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под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железнодорожными путепроводами и автомобильными эстакадами, мостами;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5.7.6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в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надземных и подземных переходах, а также в 5-метровой охранной зоне от входов (выходов) в подземные переходы;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5.7.7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на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расстоянии менее 25 метров от мест сбора мусора и пищевых отходов, дворовых уборных, выгребных ям;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5.7.8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в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случае если размещение нестационарных торговых объектов уменьшает ширину пешеходных зон до 2 метров и менее;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5.7.9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в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случае если размещение нестационарных торговых объектов препятствует свободному подъезду пожарной, аварийно-спасательной техники или доступу к объектам инженерной инфраструктуры (объекты энергоснабжения и освещения, колодцы, краны, гидранты и т.д.);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5.7.10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без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обеспечения беспрепятственного доступа к ним и использования их инвалидами и другими маломобильными группами населения;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5.7.11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с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нарушением санитарных, градостроительных, противопожарных норм и правил, требований в сфере благоустройства, при отсутствии обеспечения требований по безопасности дорожного движения и дорожной деятельности.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P142"/>
      <w:bookmarkEnd w:id="0"/>
      <w:r w:rsidRPr="00166E49">
        <w:rPr>
          <w:rFonts w:ascii="Times New Roman" w:eastAsia="Calibri" w:hAnsi="Times New Roman" w:cs="Times New Roman"/>
          <w:sz w:val="28"/>
          <w:szCs w:val="28"/>
        </w:rPr>
        <w:t>5.8. Хозяйствующие субъекты, осуществляющие мелкорозничную торговлю, бытовое обслуживание и предоставляющие услуги общественного питания в павильонах, киосках, торговых галереях, пунктах быстрого питания, специализированных нестационарных торговых объектах для организации реализации продукции сельскохозяйственных товаропроизводителей, размещаемые на территориях пешеходных зон, должны устанавливаться на твердые виды покрытия, оборудоваться осветительным оборудованием, урнами и мусорными контейнерами в соответствии с утвержденными требованиями.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5.9. Субъекты торговли, осуществляющие торговую деятельность в павильонах, киосках, объектах мобильной торговли общественного питания, передвижных сооружений общественного питания, помимо соблюдения перечисленных в </w:t>
      </w:r>
      <w:hyperlink w:anchor="P142" w:history="1">
        <w:r w:rsidRPr="00166E49">
          <w:rPr>
            <w:rFonts w:ascii="Times New Roman" w:eastAsia="Calibri" w:hAnsi="Times New Roman" w:cs="Times New Roman"/>
            <w:sz w:val="28"/>
            <w:szCs w:val="28"/>
          </w:rPr>
          <w:t>пункте 5.10</w:t>
        </w:r>
      </w:hyperlink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 требований, должны быть оснащены туалетными кабинами (при отсутствии общественных туалетов на прилегающей территории в зоне доступности менее 100 м).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5.10. При размещении нестационарных торговых объектов должен быть предусмотрен удобный подъезд автотранспорта, не создающий помех для прохода пешеходов. Разгрузку товара требуется осуществлять без заезда машин на тротуар.</w:t>
      </w:r>
    </w:p>
    <w:p w:rsidR="00166E49" w:rsidRPr="00166E49" w:rsidRDefault="00166E49" w:rsidP="00166E49">
      <w:pPr>
        <w:autoSpaceDE w:val="0"/>
        <w:autoSpaceDN w:val="0"/>
        <w:adjustRightInd w:val="0"/>
        <w:spacing w:before="220" w:after="0" w:line="240" w:lineRule="auto"/>
        <w:ind w:firstLine="53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lastRenderedPageBreak/>
        <w:t>5.11. Владелец НТО обязан устанавливать нестационарный торговый объект строго в месте, определенном Схемой, Договором, а также разрешительной документацией на его установку в соответствии с настоящим Положением.</w:t>
      </w:r>
    </w:p>
    <w:p w:rsidR="00166E49" w:rsidRPr="00166E49" w:rsidRDefault="00166E49" w:rsidP="00166E49">
      <w:pPr>
        <w:autoSpaceDE w:val="0"/>
        <w:autoSpaceDN w:val="0"/>
        <w:adjustRightInd w:val="0"/>
        <w:spacing w:before="220" w:after="0" w:line="240" w:lineRule="auto"/>
        <w:ind w:firstLine="53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5.12.  В целях повышения антитеррористической защищенности объектов, оперативного реагирования на кризисные ситуации, минимизации и ликвидации последствий террористических актов, роста уровня безопасности и комфортности среды проживания жителей за счет применения информационно-коммуникационных технологий киоски, павильоны и торговые галереи должны быть оснащены камерами видеонаблюдения в соответствии с требованиями </w:t>
      </w:r>
      <w:hyperlink r:id="rId5">
        <w:r w:rsidRPr="00166E49">
          <w:rPr>
            <w:rFonts w:ascii="Times New Roman" w:eastAsia="Calibri" w:hAnsi="Times New Roman" w:cs="Times New Roman"/>
            <w:sz w:val="28"/>
            <w:szCs w:val="28"/>
          </w:rPr>
          <w:t>распоряжения</w:t>
        </w:r>
      </w:hyperlink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Министерства государственного управления, информационных технологий и связи Московской области от 20.10.2020 № 11-134/РВ «Об утверждении общих технических требований к программно-техническим комплексам видеонаблюдения системы технологического обеспечения региональной общественной безопасности и оперативного управления «Безопасный регион» и перечня информационных систем и программно-технических комплексов, входящих в состав системы технологического обеспечения региональной общественной безопасности и оперативного управления «Безопасный регион» в актуальной редакции.</w:t>
      </w:r>
    </w:p>
    <w:p w:rsidR="00166E49" w:rsidRPr="00166E49" w:rsidRDefault="00166E49" w:rsidP="00166E49">
      <w:pPr>
        <w:autoSpaceDE w:val="0"/>
        <w:autoSpaceDN w:val="0"/>
        <w:adjustRightInd w:val="0"/>
        <w:spacing w:before="220" w:after="0" w:line="240" w:lineRule="auto"/>
        <w:ind w:firstLine="53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При этом камеры видеонаблюдения должны осуществлять трансляцию видеопотока в режиме 24/7 (двадцать четыре часа, семь дней в неделю).</w:t>
      </w:r>
    </w:p>
    <w:p w:rsidR="00166E49" w:rsidRPr="00166E49" w:rsidRDefault="00166E49" w:rsidP="00166E49">
      <w:pPr>
        <w:autoSpaceDE w:val="0"/>
        <w:autoSpaceDN w:val="0"/>
        <w:adjustRightInd w:val="0"/>
        <w:spacing w:before="220" w:after="0" w:line="240" w:lineRule="auto"/>
        <w:ind w:firstLine="53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В случае отсутствия видеопотока с какой-либо камеры видеонаблюдения на протяжении времени, превышающем 5 минут подряд, статус работы данной конкретной камеры видеонаблюдения изменяется на «Неисправность». После восстановления видеопотока статус автоматически возвращается к значению «Штатный режим». При двукратном отсутствии видеопотока продолжительностью свыше 2 секунд в течение 30 минут статус работы данной конкретной камеры видеонаблюдения также изменяется на «Неисправность». Восстановление статуса «Штатный режим» в этом случае происходит только после 30 минут непрерывного наличия видеопотока с данной конкретной камеры видеонаблюдения.</w:t>
      </w:r>
    </w:p>
    <w:p w:rsidR="00166E49" w:rsidRPr="00166E49" w:rsidRDefault="00166E49" w:rsidP="00166E49">
      <w:pPr>
        <w:autoSpaceDE w:val="0"/>
        <w:autoSpaceDN w:val="0"/>
        <w:adjustRightInd w:val="0"/>
        <w:spacing w:before="220" w:after="0" w:line="240" w:lineRule="auto"/>
        <w:ind w:firstLine="53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Камера видеонаблюдения считается работающей в надлежащем качестве в случае, если суммарное время с данной конкретной камеры видеонаблюдения в статусе «Неисправность» не превышает 3% от суммарного времени работы данной конкретной камеры в течение календарного месяца. В случае если камера видеонаблюдения не работает в надлежащем качестве 2 (два) месяца подряд, она считается не соответствующей требованиям вышеуказанного распоряжения.</w:t>
      </w:r>
    </w:p>
    <w:p w:rsidR="00166E49" w:rsidRPr="00166E49" w:rsidRDefault="00166E49" w:rsidP="00166E49">
      <w:pPr>
        <w:autoSpaceDE w:val="0"/>
        <w:autoSpaceDN w:val="0"/>
        <w:adjustRightInd w:val="0"/>
        <w:spacing w:before="220" w:after="0" w:line="240" w:lineRule="auto"/>
        <w:ind w:firstLine="53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Субъект торговли обязан предоставлять необходимую информацию службам экстренного реагирования, аварийным и спасательным службам, органам внутренних дел в установленном порядке.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5.13. Благоустройство и озеленение территории земельных участков, на которых размещаются нестационарные торговые объекты, а также содержание прилегающей к ним территории должно осуществляться в соответствии с </w:t>
      </w:r>
      <w:hyperlink r:id="rId6" w:history="1">
        <w:r w:rsidRPr="00166E49">
          <w:rPr>
            <w:rFonts w:ascii="Times New Roman" w:eastAsia="Calibri" w:hAnsi="Times New Roman" w:cs="Times New Roman"/>
            <w:sz w:val="28"/>
            <w:szCs w:val="28"/>
          </w:rPr>
          <w:t>Законом</w:t>
        </w:r>
      </w:hyperlink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Московской области от 30.12.2014 №191/2014-ОЗ «О регулировании дополнительных вопросов в сфере благоустройства в Московской области» и иными нормативными правовыми актами в данной сфере.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lastRenderedPageBreak/>
        <w:t>5.14. Уборка прилегающей территории должна производиться не реже одного раза в день.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5.15. При размещении нестационарных торговых объектов не допускаются вырубка кустарниковой, древесной растительности, асфальтирование и сплошное мощение приствольных кругов в радиусе ближе 1,5 метра от ствола. Для деревьев, расположенных в мощении, при отсутствии иных видов защиты (приствольных решеток, бордюров, </w:t>
      </w:r>
      <w:proofErr w:type="spellStart"/>
      <w:r w:rsidRPr="00166E49">
        <w:rPr>
          <w:rFonts w:ascii="Times New Roman" w:eastAsia="Calibri" w:hAnsi="Times New Roman" w:cs="Times New Roman"/>
          <w:sz w:val="28"/>
          <w:szCs w:val="28"/>
        </w:rPr>
        <w:t>периметральных</w:t>
      </w:r>
      <w:proofErr w:type="spell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скамеек и т.д.) рекомендуется предусматривать защитные виды покрытий в радиусе не менее 1,5 метра от ствола: щебеночное, галечное, «соты» с засевом газона.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5.16. При отсутствии централизованного водоснабжения и канализации, хозяйствующие субъекты должны обеспечить бесперебойную доставку и использование воды, отвечающей требованиям качества воды централизованного водоснабжения, вывод стоков с последующей дезинфекцией емкостей для питьевой воды и дератизацией емкостей для стоков в установленном порядке.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5.17. Владельцы (пользователи) нестационарных торговых объектов обязаны обеспечить уход за их внешним видом: содержать в чистоте и порядке, своевременно красить и устранять повреждения на вывесках, конструктивных элементах, производить уборку и благоустройство прилегающей территории.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6. Порядок размещения и эксплуатации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нестационарных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торговых объектов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6.1. Размещение нестационарных торговых объектов на территории городского округа Люберцы осуществляется: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6.1.1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на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основании действующего Договора, который заключается на торгах в форме открытого аукциона, в местах, определенных Схемой; 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6.1.2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на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земельных участках, на которые оформлены земельно-правовые отношения с органом государственной власти или органом местного самоуправления, а также находящихся в частной собственности, на основании решения администрации городского округа Люберцы с учетом требований настоящего Положения. 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6.2. Аукцион проводит создаваемая администрацией городского округа Люберцы специально для этих целей аукционная комиссия. Организатором аукциона является администрация городского округа Люберцы.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6.3. Положение о проведении Аукциона, положение о порядке работы комиссии и ее состав утверждаются администрацией городского округа Люберцы.</w:t>
      </w:r>
      <w:bookmarkStart w:id="1" w:name="P167"/>
      <w:bookmarkEnd w:id="1"/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6.4. НТО устанавливается его владельцем (субъектом торговли), далее – владелец НТО на основании заключенного Договора в следующие сроки: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6.4.1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киоск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в течение одного месяца с даты заключения Договора;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6.4.2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павильон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в течение двух месяцев с даты заключения Договора;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6.4.3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галерея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в течение трех месяцев с даты заключения Договора.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lastRenderedPageBreak/>
        <w:t>6.5. Документом, подтверждающим соответствие установленного нестационарного торгового объекта условиям Договора, а также требованиям настоящего Положения, является акт осмотра приемочной комиссии.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6.5.1. Комиссия на основании обращения владельца НТО в течение 10 (десяти) дней принимает решение о соответствии (несоответствии) установленного объекта требованиям настоящего Положения, а также выполнения условий Договора о сроке размещения НТО, указанного в </w:t>
      </w:r>
      <w:hyperlink w:anchor="P167" w:history="1">
        <w:r w:rsidRPr="00166E49">
          <w:rPr>
            <w:rFonts w:ascii="Times New Roman" w:eastAsia="Calibri" w:hAnsi="Times New Roman" w:cs="Times New Roman"/>
            <w:sz w:val="28"/>
            <w:szCs w:val="28"/>
          </w:rPr>
          <w:t>пункте 6.4</w:t>
        </w:r>
      </w:hyperlink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В целях исполнения условий Договора, а также соблюдения владельцем НТО срока, указанного в </w:t>
      </w:r>
      <w:hyperlink w:anchor="P167" w:history="1">
        <w:r w:rsidRPr="00166E49">
          <w:rPr>
            <w:rFonts w:ascii="Times New Roman" w:eastAsia="Calibri" w:hAnsi="Times New Roman" w:cs="Times New Roman"/>
            <w:sz w:val="28"/>
            <w:szCs w:val="28"/>
          </w:rPr>
          <w:t>пункте 6.4</w:t>
        </w:r>
      </w:hyperlink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Положения, администрация городского округа Люберцы вправе самостоятельно, с привлечением владельца НТО, осуществить обследование НТО, места его размещения и прилегающей территории.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6.5.2. В случае выявления несоответствия установленного объекта Договору и требованиям настоящего Положения, владелец установленного НТО уведомляется о необходимости устранить выявленные нарушения в срок не более 10 рабочих дней.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6.5.3. В случае если выявленные нарушения не устранены, Договор подлежит расторжению на основании </w:t>
      </w:r>
      <w:hyperlink w:anchor="P210" w:history="1">
        <w:r w:rsidRPr="00166E49">
          <w:rPr>
            <w:rFonts w:ascii="Times New Roman" w:eastAsia="Calibri" w:hAnsi="Times New Roman" w:cs="Times New Roman"/>
            <w:sz w:val="28"/>
            <w:szCs w:val="28"/>
          </w:rPr>
          <w:t>пунктов 7.2.2, 7.2</w:t>
        </w:r>
      </w:hyperlink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6.6. При осуществлении торговой деятельности в нестационарном торговом объекте должны соблюдаться специализация нестационарного торгового объекта, минимальный ассортиментный перечень, который должен быть постоянно в продаже, и номенклатура дополнительных групп товаров в соответствии со специализацией.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6.7. Владелец НТО не вправе самостоятельно изменять специализацию торгового объекта.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6.8. Владелец НТО, с которым заключен Договор, обязан уведомлять администрацию городского округа Люберцы обо всех фактах возникновения у третьих лиц прав в отношении НТО (сдача в аренду и иные факты).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6.9. Нестационарные торговые объекты могут иметь средство размещения информации с надписью, определяющей профиль и специализацию, а также обязаны разместить вывеску с указанием зарегистрированного названия, формы собственности и режима работы.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6.10. Субъекты торговли, осуществляющие торговую деятельность, определяют режим работы самостоятельно, за исключением случаев, установленных законодательством Российской Федерации.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6.11. При определении (установлении) режима работы должна учитываться необходимость соблюдения тишины и покоя граждан.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6.12. При эксплуатации нестационарных торговых объектов должно обеспечиваться соблюдение санитарных норм и правил по реализации и условиям хранения продукции, противопожарных, экологических и других правил, а также соблюдение работниками условий труда и правил личной гигиены.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6.13. Транспортное обслуживание нестационарных объектов и загрузка их товарами не должны затруднять и снижать безопасность движения транспорта и пешеходов.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lastRenderedPageBreak/>
        <w:t>6.14. Подъездные пути, разгрузочные площадки, площадки для покупателей и для расположения столов должны обеспечивать удобный доступ ко входам в нестационарные торговые объекты, иметь твердое покрытие, обеспечивающее сток ливневых вод, а также должны быть освещены.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6.15. Запрещается использование тротуаров, пешеходных дорожек, газонов, элементов благоустройства для подъезда транспорта к зоне загрузки товара, для стоянки автотранспорта, осуществляющего доставку товара.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6.16. При размещении передвижных сооружений запрещается их переоборудование (модификация), если в результате проведения соответствующих работ передвижные сооружения не могут быть самостоятельно транспортированы (за счет движущей силы, вырабатываемой двигателем) или не могут быть транспортированы в составе с механическим транспортным средством, в том числе запрещается демонтаж колес и прочих частей, элементов, деталей, узлов, агрегатов и устройств, обеспечивающих движение таких передвижных сооружений.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6.17. Допускается работа передвижных пунктов быстрого питания, имеющих специализированную производственную базу, реализующих унифицированный ассортимент продукции из полуфабрикатов высокой степени готовности и зарегистрированных в установленном порядке в государственном органе, осуществляющем регистрацию транспортных средств в соответствии с законодательством Российской Федерации и Московской области.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6.18. При реализации товаров в нестационарном торговом объекте должны быть документы, подтверждающие качество и безопасность продукции, в соответствии с законодательством Российской Федерации.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6.19. Образцы всех продовольственных и непродовольственных товаров должны быть снабжены единообразными, оформленными ценниками с указанием наименования товара, его сорта, цены за вес или единицу товара, даты оформления.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6.20. Работники нестационарных торговых объектов обязаны: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6.20.1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выполнять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требования пожарной безопасности, соблюдать требования законодательства Российской Федерации о защите прав потребителей, законодательства Российской Федерации в области обеспечения санитарно-эпидемиологического благополучия населения, требования, предъявляемые законодательством Российской Федерации к продаже отдельных видов товаров, иные предусмотренные законодательством Российской Федерации требования;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6.20.2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содержать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нестационарные торговые объекты, торговое оборудование в чистоте;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6.20.3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предохранять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товары от пыли, загрязнения;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6.20.4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иметь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чистую форменную одежду;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6.20.5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соблюдать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правила личной гигиены и санитарного содержания прилегающей территории, иметь медицинскую книжку;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6.20.6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предоставлять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потребителям достоверную информацию о реализуемых товарах (оказываемых услугах) в соответствии с законодательством Российской Федерации.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lastRenderedPageBreak/>
        <w:t>6.21. Запрещается: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6.21.1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раскладка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товаров, а также складирование тары и запаса продуктов на прилегающей к нестационарному торговому объекту территории;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6.21.2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реализация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пищевых продуктов домашнего приготовления: маринованных и соленых грибов, всех видов консервированных и герметически упакованных в банки продуктов, соков, изделий на основе сахара (леденцы, воздушный рис и т.п.);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6.21.3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реализация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скоропортящихся пищевых продуктов при отсутствии холодильного оборудования для их хранения и реализации;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6.21.4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реализация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картофеля, свежей плодоовощной продукции с земли и  продажа бахчевых культур с земли, а также частями и с надрезами.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6.22. Продажа хлеба, выпечных кондитерских и хлебобулочных изделий осуществляется в упакованном виде. 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6.23. Ассортимент горячих блюд должен соответствовать основной специализации пунктов быстрого питания (например: блины, картофель фри, хот-дог, пирожки, вафли и другие виды продукции). Реализация горячих блюд разрешается из полуфабрикатов высокой степени готовности.</w:t>
      </w:r>
    </w:p>
    <w:p w:rsidR="00166E49" w:rsidRPr="00166E49" w:rsidRDefault="00166E49" w:rsidP="00166E49">
      <w:pPr>
        <w:autoSpaceDE w:val="0"/>
        <w:autoSpaceDN w:val="0"/>
        <w:adjustRightInd w:val="0"/>
        <w:spacing w:before="220"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7. Прекращение права на размещение НТО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7.1. Расторжение Договора допускается по соглашению сторон по основаниям, предусмотренным гражданским законодательством Российской Федерации и настоящим Положением.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7.2. Администрация городского округа Люберцы вправе в одностороннем порядке отказаться от Договора в следующих случаях: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7.2.1. Истечение установленного </w:t>
      </w:r>
      <w:hyperlink w:anchor="P167" w:history="1">
        <w:r w:rsidRPr="00166E49">
          <w:rPr>
            <w:rFonts w:ascii="Times New Roman" w:eastAsia="Calibri" w:hAnsi="Times New Roman" w:cs="Times New Roman"/>
            <w:sz w:val="28"/>
            <w:szCs w:val="28"/>
          </w:rPr>
          <w:t>пунктом 6.4</w:t>
        </w:r>
      </w:hyperlink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 срока, в течение которого владелец НТО обязан произвести установку (монтаж) нестационарного торгового объекта;</w:t>
      </w:r>
      <w:bookmarkStart w:id="2" w:name="P210"/>
      <w:bookmarkEnd w:id="2"/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7.2.2. Несоответствие проведенных владельцем НТО работ по установке нестационарного торгового объекта Договору и требованиям настоящего Положения;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7.2.3. Неоднократного нарушения владельцем НТО правил осуществления торговой деятельности, обязательств по благоустройству и уборке прилегающей территории, вывозу мусора, других требований, установленных действующим законодательством и настоящим Положением, что подтверждено соответствующими актами обследования (протоколами) территории представителями отраслевых (функциональных) органов администрации городского округа Люберцы; 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7.2.4. Осуществление продажи алкогольной продукции в нестационарном торговом объекте, что зафиксировано должностными лицами органов внутренних дел в протоколе об административном правонарушении;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7.2.5. Передача владельцем НТО третьим лицам прав и обязанностей по Договору на размещение и эксплуатацию нестационарного торгового объекта, заключенного по результатам Аукциона;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7.2.6. Изменении специализации, внешнего вида, размеров, площади нестационарного торгового объекта в ходе его эксплуатации (возведение </w:t>
      </w:r>
      <w:r w:rsidRPr="00166E49">
        <w:rPr>
          <w:rFonts w:ascii="Times New Roman" w:eastAsia="Calibri" w:hAnsi="Times New Roman" w:cs="Times New Roman"/>
          <w:sz w:val="28"/>
          <w:szCs w:val="28"/>
        </w:rPr>
        <w:lastRenderedPageBreak/>
        <w:t>пристроек, надстройка дополнительных антресолей и этажей, изменение фасадов и т.п.);</w:t>
      </w:r>
      <w:bookmarkStart w:id="3" w:name="P215"/>
      <w:bookmarkEnd w:id="3"/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7.2.7. Необходимость ремонта и (или) реконструкции автомобильных дорог в случае, если нахождение НТО препятствует осуществлению указанных работ;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7.2.8. Использование территории, занимаемой НТО, для целей, связанных с развитием улично-дорожной сети, размещением остановок общественного транспорта, оборудованием бордюров, организацией парковочных карманов;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7.2.9. Размещение объектов капитального строительства федерального, регионального или муниципального значения;</w:t>
      </w:r>
      <w:bookmarkStart w:id="4" w:name="P218"/>
      <w:bookmarkEnd w:id="4"/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7.2.10. Заключение договора о развитии застроенных территорий в случае, если нахождение НТО препятствует реализации указанного договора;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7.2.11. Указание заведомо недостоверных и неполных сведений в Договоре;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7.2.12. Неоднократное неисполнение предусмотренных настоящим Положением законных требований администрации городского округа Люберцы;</w:t>
      </w:r>
      <w:bookmarkStart w:id="5" w:name="P221"/>
      <w:bookmarkEnd w:id="5"/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7.2.13. В иных предусмотренных действующим законодательством случаях.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7.3. В случае одностороннего отказа от Договора он считается расторгнутым по истечении 10 (десяти) дней с момента направления уведомления владельцу НТО.</w:t>
      </w:r>
      <w:bookmarkStart w:id="6" w:name="P223"/>
      <w:bookmarkEnd w:id="6"/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7.4. Администрация городского округа Люберцы извещает владельца НТО не менее чем за месяц, но не более чем за шесть месяцев до появления оснований в случаях указанных в </w:t>
      </w:r>
      <w:hyperlink w:anchor="P215" w:history="1">
        <w:r w:rsidRPr="00166E49">
          <w:rPr>
            <w:rFonts w:ascii="Times New Roman" w:eastAsia="Calibri" w:hAnsi="Times New Roman" w:cs="Times New Roman"/>
            <w:sz w:val="28"/>
            <w:szCs w:val="28"/>
          </w:rPr>
          <w:t>пунктах 7.2.7</w:t>
        </w:r>
      </w:hyperlink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- 7.2.10 настоящего Положения.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7.5. Нестационарный торговый объект подлежит обязательному демонтажу его владельцем в срок не позднее 5 (пяти) дней с момента надлежащего уведомления о начале работ, в случаях принятия решений, указанных в </w:t>
      </w:r>
      <w:hyperlink w:anchor="P215" w:history="1">
        <w:proofErr w:type="gramStart"/>
        <w:r w:rsidRPr="00166E49">
          <w:rPr>
            <w:rFonts w:ascii="Times New Roman" w:eastAsia="Calibri" w:hAnsi="Times New Roman" w:cs="Times New Roman"/>
            <w:sz w:val="28"/>
            <w:szCs w:val="28"/>
          </w:rPr>
          <w:t>пунктах  7.2.7</w:t>
        </w:r>
        <w:proofErr w:type="gramEnd"/>
      </w:hyperlink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- 7.2.10 настоящего Положения.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7.6. НТО подлежит обязательному демонтажу в срок не позднее 5 (пяти) дней после окончания срока действия Договора или со дня его расторжения.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7.7. В случае неисполнения владельцем НТО требований, установленных в пункте </w:t>
      </w:r>
      <w:hyperlink w:anchor="P223" w:history="1">
        <w:r w:rsidRPr="00166E49">
          <w:rPr>
            <w:rFonts w:ascii="Times New Roman" w:eastAsia="Calibri" w:hAnsi="Times New Roman" w:cs="Times New Roman"/>
            <w:sz w:val="28"/>
            <w:szCs w:val="28"/>
          </w:rPr>
          <w:t>7.5</w:t>
        </w:r>
        <w:proofErr w:type="gramStart"/>
        <w:r w:rsidRPr="00166E49">
          <w:rPr>
            <w:rFonts w:ascii="Times New Roman" w:eastAsia="Calibri" w:hAnsi="Times New Roman" w:cs="Times New Roman"/>
            <w:sz w:val="28"/>
            <w:szCs w:val="28"/>
          </w:rPr>
          <w:t>.</w:t>
        </w:r>
      </w:hyperlink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настоящего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Положения, НТО подлежит в соответствии со статьями  12, 14 Гражданского кодекса Российской Федерации принудительному демонтажу в установленном порядке. При этом с владельца НТО в добровольном и (или) судебном порядке взыскиваются расходы, связанные с перемещением и хранением его нестационарного торгового объекта. Понесенные владельцем НТО расходы на изготовление, установку, благоустройство территории и других работ, связанных с размещением данного объекта, не подлежат возмещению.</w:t>
      </w:r>
      <w:bookmarkStart w:id="7" w:name="P228"/>
      <w:bookmarkEnd w:id="7"/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7.8. Администрация городского округа Люберцы вправе потребовать демонтировать сезонные элементы благоустройства в течение 3 (трех) календарных дней в случае: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7.8.1. Несоответствия размещения сезонных элементов благоустройства градостроительным, строительным, архитектурным, пожарным, санитарным нормам, правилами нормативам;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7.8.2. Допущения субъектом торговли действий, нарушающих требования по обеспечению тишины и покоя граждан, установленные Законом Московской области от 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07.03.2014  №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16/2014-ОЗ «Об обеспечении тишины и покоя граждан на территории Московской области», правил осуществления торговой деятельности, обязательств по благоустройству и уборке прилегающей территории, вывозу мусора, других требований, установленных действующим законодательством и настоящим Положением.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8. Порядок получения решения на размещение нестационарного торгового объекта на земельных участках, на которые оформлены земельно-правовые отношения с органом государственной власти или органом местного самоуправления на земельных участках, находящихся в частной собственности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8.1. Основанием для размещения и эксплуатации НТО на земельном участке, на который оформлены земельно-правовые отношения с органом государственной власти или органом местного самоуправления, являются: наличие права на земельный участок, решение администрации городского округа Люберцы. 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На земельных участках, находящихся в частной собственности, основанием для размещения и эксплуатации НТО является разрешение собственника земельного участка на размещение НТО на определенный срок, решение администрации городского округа Люберцы. </w:t>
      </w:r>
      <w:bookmarkStart w:id="8" w:name="P237"/>
      <w:bookmarkEnd w:id="8"/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8.2. Для получения решения на размещение НТО заинтересованное 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лицо  подает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в администрацию городского округа Люберцы следующие документы (оригиналы либо заверенные копии):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8.2.1. Заявление, которое должно содержать: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- для юридического лица - наименование, сведения об организационно-правовой форме, о местонахождении, почтовый адрес, основной государственный регистрационный номер юридического лица (далее - ОГРН), индивидуальный номер налогоплательщика (далее - ИНН), номер контактного телефона, адрес электронной почты;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- для индивидуального предпринимателя - фамилия, имя, отчество, паспортные данные, номер контактного телефона, адрес электронной почты, основной государственный регистрационный номер индивидуального предпринимателя, ИНН;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- для физического лица, физического лица, применяющего специальный налоговый режим «Налог на профессиональный доход» - фамилия, имя, отчество, паспортные данные, номер контактного телефона, адрес электронной почты.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8.2.2. Сведения и документы о заявителе: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- документ, подтверждающий полномочия лица на осуществление действий от имени заявителя.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В случае если от имени заявителя действует иное лицо предоставляется доверенность на осуществление действий от имени заявителя. В случае если указанная доверенность подписана лицом, уполномоченным руководителем заявителя, то предоставляется документ, подтверждающий полномочия такого </w:t>
      </w:r>
      <w:r w:rsidRPr="00166E49">
        <w:rPr>
          <w:rFonts w:ascii="Times New Roman" w:eastAsia="Calibri" w:hAnsi="Times New Roman" w:cs="Times New Roman"/>
          <w:sz w:val="28"/>
          <w:szCs w:val="28"/>
        </w:rPr>
        <w:lastRenderedPageBreak/>
        <w:t>лица. Доверенность от имени индивидуального предпринимателя оформляется в соответствии с требованиями законодательства Российской Федерации.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8.2.3. Для юридических лиц: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- заверенные юридическим лицом копии свидетельства о государственной регистрации юридического лица и свидетельства ИНН, а также учредительных документов.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8.2.4. Для индивидуальных предпринимателей: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- заверенные индивидуальным предпринимателем копии свидетельства о государственной регистрации физического лица в качестве индивидуального предпринимателя и свидетельства ИНН, копия паспорта;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- для физических лиц, не зарегистрированных в качестве индивидуальных предпринимателей, физических лиц, применяющих специальный налоговый режим «Налог на профессиональный 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доход»-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 копия паспорта.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8.2.5. Согласие собственника земельного участка на размещение нестационарного торгового объекта, в случае если заявитель не является собственником земельного участка (в случае размещения НТО на земельном участке, находящемся в частной собственности), с указанием срока действия.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8.2.6. Информация о режиме работы объекта.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8.2.7. Информация о виде деятельности и виде продукции, планируемой к реализации (специализации).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8.2.8. Проект нестационарного торгового объекта со схемой расположения на земельном участке согласно требованиям к архитектурно-дизайнерскому решению НТО, утвержденных администрацией городского округа Люберцы. 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8.2.9. Карточка основных сведений организации (индивидуального предпринимателя).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8.3. Документы, указанные в </w:t>
      </w:r>
      <w:hyperlink w:anchor="P237" w:history="1">
        <w:r w:rsidRPr="00166E49">
          <w:rPr>
            <w:rFonts w:ascii="Times New Roman" w:eastAsia="Calibri" w:hAnsi="Times New Roman" w:cs="Times New Roman"/>
            <w:sz w:val="28"/>
            <w:szCs w:val="28"/>
          </w:rPr>
          <w:t>пункте 8.2</w:t>
        </w:r>
      </w:hyperlink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Положения, рассматриваются созданной администрацией городского округа 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Люберцы  для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этих целей межведомственной комиссией по вопросам торговли, общественного питания и бытового обслуживания администрации городского округа Люберцы (далее - МВК) в течение 30 дней с момента подачи заявления.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8.4. Состав и Положение о МВК утверждаются постановлением администрации городского округа Люберцы.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8.5. По результатам рассмотрения документов МВК принимается одно из следующих решений: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8.5.1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о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выдаче разрешения на размещение НТО;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8.5.2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об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отказе в выдаче разрешения на размещение НТО.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8.6. Разрешение на размещение НТО выдается: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8.6.1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в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случае если на земельный участок оформлены земельно-правовые отношения с органом государственной власти или органом местного самоуправления, разрешение на размещение НТО выдается на срок 5 (пять) лет, либо на срок действия договора аренды этого земельного участка, но не более 5 (пяти) лет;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8.6.2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в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случае если земельный участок находится в частной собственности, разрешение на размещение НТО выдается на срок не более 5 </w:t>
      </w:r>
      <w:r w:rsidRPr="00166E49">
        <w:rPr>
          <w:rFonts w:ascii="Times New Roman" w:eastAsia="Calibri" w:hAnsi="Times New Roman" w:cs="Times New Roman"/>
          <w:sz w:val="28"/>
          <w:szCs w:val="28"/>
        </w:rPr>
        <w:lastRenderedPageBreak/>
        <w:t>(пяти) лет, если меньший срок не установлен собственником земельного участка.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8.7. Отказ в выдаче разрешения осуществляется в случае: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8.7.1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представление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заинтересованным лицом недостоверных сведений;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8.7.2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непредставления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документов, указанных в </w:t>
      </w:r>
      <w:hyperlink w:anchor="P237" w:history="1">
        <w:r w:rsidRPr="00166E49">
          <w:rPr>
            <w:rFonts w:ascii="Times New Roman" w:eastAsia="Calibri" w:hAnsi="Times New Roman" w:cs="Times New Roman"/>
            <w:sz w:val="28"/>
            <w:szCs w:val="28"/>
          </w:rPr>
          <w:t>пункте 8.2</w:t>
        </w:r>
      </w:hyperlink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8.7.3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несоответствия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НТО требованиям настоящего Положения;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8.7.4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несоответствия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места размещения НТО требованиям настоящего Положения;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8.7.5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если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субъект торговли находится в процессе ликвидации или признан неплатежеспособным (банкротом), его деятельность на момент подачи и рассмотрения заявления МВК приостановлена;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8.7.6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в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связи с необходимостью ремонта и (или) реконструкции автомобильных дорог в случае, если нахождение НТО объекта препятствует осуществлению указанных работ;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8.7.7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в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связи с размещением объектов капитального строительства федерального, регионального или муниципального значения;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8.7.8</w:t>
      </w:r>
      <w:proofErr w:type="gramStart"/>
      <w:r w:rsidRPr="00166E49">
        <w:rPr>
          <w:rFonts w:ascii="Times New Roman" w:eastAsia="Calibri" w:hAnsi="Times New Roman" w:cs="Times New Roman"/>
          <w:sz w:val="28"/>
          <w:szCs w:val="28"/>
        </w:rPr>
        <w:t>. заключение</w:t>
      </w:r>
      <w:proofErr w:type="gramEnd"/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договора о развитии застроенных территорий в случае, если нахождение НТО препятствует реализации указанного договора.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8.8. В соответствии с решением МВК об отказе в выдаче разрешения субъекту торговли в течение 10 дней выдается выписка из протокола заседания МВК.</w:t>
      </w:r>
      <w:bookmarkStart w:id="9" w:name="P278"/>
      <w:bookmarkEnd w:id="9"/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8.9. В соответствии с решением МВК о выдаче разрешения субъекту торговли в течение 10 дней выдается выписка из протокола МВК с указанием следующих сроков размещения НТО: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- киоск в течение одного месяца с даты принятия решения МВК о выдаче субъекту торговли разрешения на размещение НТО;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- павильон в течение двух месяцев с даты принятия решения МВК о выдаче субъекту торговли разрешения на размещение НТО;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- галерея в течение трех месяцев с даты принятия решения МВК о выдаче субъекту торговли раз решения на размещение НТО.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8.10. Документом, подтверждающим соответствие установленного НТО документам, представленным субъектом торговли в соответствии с </w:t>
      </w:r>
      <w:hyperlink w:anchor="P237" w:history="1">
        <w:r w:rsidRPr="00166E49">
          <w:rPr>
            <w:rFonts w:ascii="Times New Roman" w:eastAsia="Calibri" w:hAnsi="Times New Roman" w:cs="Times New Roman"/>
            <w:sz w:val="28"/>
            <w:szCs w:val="28"/>
          </w:rPr>
          <w:t>пунктом 8.2</w:t>
        </w:r>
      </w:hyperlink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Положения, а также иным требованиям настоящего Положения, является акт осмотра приемочной комиссии, утвержденной администрацией городского округа Люберцы.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8.11. Приемочная комиссия на основании обращения субъекта торговли в течение 10 (десяти) дней принимает решение о соответствии (несоответствии) установленного объекта документам, представленным субъектом торговли, в соответствии с </w:t>
      </w:r>
      <w:hyperlink w:anchor="P237" w:history="1">
        <w:r w:rsidRPr="00166E49">
          <w:rPr>
            <w:rFonts w:ascii="Times New Roman" w:eastAsia="Calibri" w:hAnsi="Times New Roman" w:cs="Times New Roman"/>
            <w:sz w:val="28"/>
            <w:szCs w:val="28"/>
          </w:rPr>
          <w:t>пунктом 8.2</w:t>
        </w:r>
      </w:hyperlink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 и иным требованиям настоящего Положения.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В целях соблюдения требований настоящего Положения, а также соблюдения Владельцем НТО сроков, указанных в настоящем Положении, администрация городского округа Люберцы вправе самостоятельно, с привлечением субъекта торговли, осуществить обследование НТО и места его размещения.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8.12. В случае выявления несоответствия установленного объекта документам, представленным субъектом торговли в соответствии с </w:t>
      </w:r>
      <w:hyperlink w:anchor="P237" w:history="1">
        <w:r w:rsidRPr="00166E49">
          <w:rPr>
            <w:rFonts w:ascii="Times New Roman" w:eastAsia="Calibri" w:hAnsi="Times New Roman" w:cs="Times New Roman"/>
            <w:sz w:val="28"/>
            <w:szCs w:val="28"/>
          </w:rPr>
          <w:t>пунктом 8.2</w:t>
        </w:r>
      </w:hyperlink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настоящего Положения, а также иным требованиям настоящего Положения субъект торговли уведомляется о необходимости устранить выявленные нарушения в срок не более 10 (десяти) рабочих дней.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8.13. В случае если выявленные нарушения не устранены, решение МВК о выдаче разрешения на размещение НТО аннулируется.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8.14. Решение выдается субъекту торговли после приемки объекта комиссией и составления акта о соответствии НТО установленным требованиям настоящего Положения.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8.15. Решение подлежит отмене администрацией городского округа Люберцы в случаях, предусмотренных </w:t>
      </w:r>
      <w:hyperlink w:anchor="P210" w:history="1">
        <w:r w:rsidRPr="00166E49">
          <w:rPr>
            <w:rFonts w:ascii="Times New Roman" w:eastAsia="Calibri" w:hAnsi="Times New Roman" w:cs="Times New Roman"/>
            <w:sz w:val="28"/>
            <w:szCs w:val="28"/>
          </w:rPr>
          <w:t>пунктами 7.2.2</w:t>
        </w:r>
      </w:hyperlink>
      <w:r w:rsidRPr="00166E49">
        <w:rPr>
          <w:rFonts w:ascii="Times New Roman" w:eastAsia="Calibri" w:hAnsi="Times New Roman" w:cs="Times New Roman"/>
          <w:sz w:val="28"/>
          <w:szCs w:val="28"/>
        </w:rPr>
        <w:t xml:space="preserve"> - 7.2.13 настоящего Положения.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8.16. Нестационарный торговый объект в случае окончания срока его размещения, а также в случае отмены решения подлежит обязательному демонтажу собственником объекта в срок не позднее 5 (пяти) дней со дня окончания срока действия данного документа или его отмены.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При этом субъекту торговли не компенсируются понесенные им расходы на изготовление, установку, благоустройство территории и другие работы, связанные с размещением и демонтажем данного объекта.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8.17. В случае неисполнения субъектом торговли сроков демонтажа НТО его демонтаж, в соответствии со статьями 12, 14 Гражданского кодекса Российской Федерации, производится администрацией городского округа Люберцы принудительно в установленном порядке. При этом с субъекта торговли в добровольном и (или) судебном порядке взыскиваются расходы, связанные с перемещением и хранением его НТО.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6E49">
        <w:rPr>
          <w:rFonts w:ascii="Times New Roman" w:eastAsia="Calibri" w:hAnsi="Times New Roman" w:cs="Times New Roman"/>
          <w:sz w:val="28"/>
          <w:szCs w:val="28"/>
        </w:rPr>
        <w:t>8.18. После демонтажа НТО по основаниям, предусмотренным настоящим Положением и действующим законодательством, субъект торговли за свой счет обязан произвести благоустройство территории, на которой был размещен нестационарный торговый объект. Работы по благоустройству территории должны быть выполнены в 15-дневный срок с момента демонтажа НТО (при демонтаже НТО в осенне-зимний период работы по благоустройству выполняются в ближайший весенний период), также благоустройству подлежит прилегающая территория. При этом расходы, связанные с производством данных работ, субъекту торговли возмещению не подлежат.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6E49">
        <w:rPr>
          <w:rFonts w:ascii="Times New Roman" w:hAnsi="Times New Roman" w:cs="Times New Roman"/>
          <w:sz w:val="28"/>
          <w:szCs w:val="28"/>
          <w:lang w:eastAsia="ru-RU"/>
        </w:rPr>
        <w:t>Приложение № 2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166E49">
        <w:rPr>
          <w:rFonts w:ascii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166E49">
        <w:rPr>
          <w:rFonts w:ascii="Times New Roman" w:hAnsi="Times New Roman" w:cs="Times New Roman"/>
          <w:sz w:val="28"/>
          <w:szCs w:val="28"/>
          <w:lang w:eastAsia="ru-RU"/>
        </w:rPr>
        <w:t xml:space="preserve"> решению Совета депутатов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166E49">
        <w:rPr>
          <w:rFonts w:ascii="Times New Roman" w:hAnsi="Times New Roman" w:cs="Times New Roman"/>
          <w:sz w:val="28"/>
          <w:szCs w:val="28"/>
          <w:lang w:eastAsia="ru-RU"/>
        </w:rPr>
        <w:t>городского</w:t>
      </w:r>
      <w:proofErr w:type="gramEnd"/>
      <w:r w:rsidRPr="00166E49">
        <w:rPr>
          <w:rFonts w:ascii="Times New Roman" w:hAnsi="Times New Roman" w:cs="Times New Roman"/>
          <w:sz w:val="28"/>
          <w:szCs w:val="28"/>
          <w:lang w:eastAsia="ru-RU"/>
        </w:rPr>
        <w:t xml:space="preserve"> округа Люберцы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6E49">
        <w:rPr>
          <w:rFonts w:ascii="Times New Roman" w:hAnsi="Times New Roman" w:cs="Times New Roman"/>
          <w:sz w:val="28"/>
          <w:szCs w:val="28"/>
          <w:lang w:eastAsia="ru-RU"/>
        </w:rPr>
        <w:t>Московской области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166E49">
        <w:rPr>
          <w:rFonts w:ascii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166E4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10.04.2024 №  152/23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66E49" w:rsidRPr="00166E49" w:rsidRDefault="00166E49" w:rsidP="00166E49">
      <w:pPr>
        <w:autoSpaceDE w:val="0"/>
        <w:autoSpaceDN w:val="0"/>
        <w:adjustRightInd w:val="0"/>
        <w:spacing w:after="20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166E49" w:rsidRPr="00166E49" w:rsidRDefault="00166E49" w:rsidP="00166E49">
      <w:pPr>
        <w:autoSpaceDE w:val="0"/>
        <w:autoSpaceDN w:val="0"/>
        <w:adjustRightInd w:val="0"/>
        <w:spacing w:after="20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66E4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Методика </w:t>
      </w:r>
    </w:p>
    <w:p w:rsidR="00166E49" w:rsidRPr="00166E49" w:rsidRDefault="00166E49" w:rsidP="00166E49">
      <w:pPr>
        <w:autoSpaceDE w:val="0"/>
        <w:autoSpaceDN w:val="0"/>
        <w:adjustRightInd w:val="0"/>
        <w:spacing w:after="20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166E49">
        <w:rPr>
          <w:rFonts w:ascii="Times New Roman" w:hAnsi="Times New Roman" w:cs="Times New Roman"/>
          <w:b/>
          <w:sz w:val="28"/>
          <w:szCs w:val="28"/>
          <w:lang w:eastAsia="ru-RU"/>
        </w:rPr>
        <w:t>расчета</w:t>
      </w:r>
      <w:proofErr w:type="gramEnd"/>
      <w:r w:rsidRPr="00166E4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платы по договору на размещение и эксплуатацию нестационарного торгового объекта на территории городского округа Люберцы Московской области </w:t>
      </w:r>
    </w:p>
    <w:p w:rsidR="00166E49" w:rsidRPr="00166E49" w:rsidRDefault="00166E49" w:rsidP="00166E49">
      <w:pPr>
        <w:autoSpaceDE w:val="0"/>
        <w:autoSpaceDN w:val="0"/>
        <w:adjustRightInd w:val="0"/>
        <w:spacing w:after="200" w:line="240" w:lineRule="auto"/>
        <w:contextualSpacing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0"/>
          <w:szCs w:val="20"/>
          <w:lang w:eastAsia="ru-RU"/>
        </w:rPr>
      </w:pP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6E49">
        <w:rPr>
          <w:rFonts w:ascii="Times New Roman" w:hAnsi="Times New Roman" w:cs="Times New Roman"/>
          <w:sz w:val="28"/>
          <w:szCs w:val="28"/>
          <w:lang w:eastAsia="ru-RU"/>
        </w:rPr>
        <w:t>1. Исчисление годового размера платы по договору осуществляется по следующей формуле: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6E49">
        <w:rPr>
          <w:rFonts w:ascii="Times New Roman" w:hAnsi="Times New Roman" w:cs="Times New Roman"/>
          <w:sz w:val="28"/>
          <w:szCs w:val="28"/>
          <w:lang w:eastAsia="ru-RU"/>
        </w:rPr>
        <w:t xml:space="preserve">ЦД = БС x S x </w:t>
      </w:r>
      <w:proofErr w:type="spellStart"/>
      <w:r w:rsidRPr="00166E49">
        <w:rPr>
          <w:rFonts w:ascii="Times New Roman" w:hAnsi="Times New Roman" w:cs="Times New Roman"/>
          <w:sz w:val="28"/>
          <w:szCs w:val="28"/>
          <w:lang w:eastAsia="ru-RU"/>
        </w:rPr>
        <w:t>Кs</w:t>
      </w:r>
      <w:proofErr w:type="spellEnd"/>
      <w:r w:rsidRPr="00166E49">
        <w:rPr>
          <w:rFonts w:ascii="Times New Roman" w:hAnsi="Times New Roman" w:cs="Times New Roman"/>
          <w:sz w:val="28"/>
          <w:szCs w:val="28"/>
          <w:lang w:eastAsia="ru-RU"/>
        </w:rPr>
        <w:t xml:space="preserve"> x </w:t>
      </w:r>
      <w:proofErr w:type="spellStart"/>
      <w:r w:rsidRPr="00166E49">
        <w:rPr>
          <w:rFonts w:ascii="Times New Roman" w:hAnsi="Times New Roman" w:cs="Times New Roman"/>
          <w:sz w:val="28"/>
          <w:szCs w:val="28"/>
          <w:lang w:eastAsia="ru-RU"/>
        </w:rPr>
        <w:t>Ксп</w:t>
      </w:r>
      <w:proofErr w:type="spellEnd"/>
      <w:r w:rsidRPr="00166E49">
        <w:rPr>
          <w:rFonts w:ascii="Times New Roman" w:hAnsi="Times New Roman" w:cs="Times New Roman"/>
          <w:sz w:val="28"/>
          <w:szCs w:val="28"/>
          <w:lang w:eastAsia="ru-RU"/>
        </w:rPr>
        <w:t xml:space="preserve"> x </w:t>
      </w:r>
      <w:proofErr w:type="spellStart"/>
      <w:r w:rsidRPr="00166E49">
        <w:rPr>
          <w:rFonts w:ascii="Times New Roman" w:hAnsi="Times New Roman" w:cs="Times New Roman"/>
          <w:sz w:val="28"/>
          <w:szCs w:val="28"/>
          <w:lang w:eastAsia="ru-RU"/>
        </w:rPr>
        <w:t>Ктер</w:t>
      </w:r>
      <w:proofErr w:type="spellEnd"/>
      <w:r w:rsidRPr="00166E49">
        <w:rPr>
          <w:rFonts w:ascii="Times New Roman" w:hAnsi="Times New Roman" w:cs="Times New Roman"/>
          <w:sz w:val="28"/>
          <w:szCs w:val="28"/>
          <w:lang w:eastAsia="ru-RU"/>
        </w:rPr>
        <w:t xml:space="preserve"> x </w:t>
      </w:r>
      <w:proofErr w:type="spellStart"/>
      <w:r w:rsidRPr="00166E49">
        <w:rPr>
          <w:rFonts w:ascii="Times New Roman" w:hAnsi="Times New Roman" w:cs="Times New Roman"/>
          <w:sz w:val="28"/>
          <w:szCs w:val="28"/>
          <w:lang w:eastAsia="ru-RU"/>
        </w:rPr>
        <w:t>Кп</w:t>
      </w:r>
      <w:proofErr w:type="spellEnd"/>
      <w:r w:rsidRPr="00166E49">
        <w:rPr>
          <w:rFonts w:ascii="Times New Roman" w:hAnsi="Times New Roman" w:cs="Times New Roman"/>
          <w:sz w:val="28"/>
          <w:szCs w:val="28"/>
          <w:lang w:eastAsia="ru-RU"/>
        </w:rPr>
        <w:t>, где: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6E49">
        <w:rPr>
          <w:rFonts w:ascii="Times New Roman" w:hAnsi="Times New Roman" w:cs="Times New Roman"/>
          <w:sz w:val="28"/>
          <w:szCs w:val="28"/>
          <w:lang w:eastAsia="ru-RU"/>
        </w:rPr>
        <w:t>ЦД - цена договора (цена лота аукциона);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6E49">
        <w:rPr>
          <w:rFonts w:ascii="Times New Roman" w:hAnsi="Times New Roman" w:cs="Times New Roman"/>
          <w:sz w:val="28"/>
          <w:szCs w:val="28"/>
          <w:lang w:eastAsia="ru-RU"/>
        </w:rPr>
        <w:t>БС - базовая ставка.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6E49">
        <w:rPr>
          <w:rFonts w:ascii="Times New Roman" w:hAnsi="Times New Roman" w:cs="Times New Roman"/>
          <w:sz w:val="28"/>
          <w:szCs w:val="28"/>
          <w:lang w:eastAsia="ru-RU"/>
        </w:rPr>
        <w:t xml:space="preserve">БС – базовая ставка, применяемая для расчета размера платы по договору, устанавливается Законом Московской области </w:t>
      </w:r>
      <w:r w:rsidRPr="00166E4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«Об установлении базового размера арендной платы на земельные участки, находящиеся в собственности Московской области или государственная собственность на которые не разграничена на территории Московской области» </w:t>
      </w:r>
      <w:r w:rsidRPr="00166E49">
        <w:rPr>
          <w:rFonts w:ascii="Times New Roman" w:hAnsi="Times New Roman" w:cs="Times New Roman"/>
          <w:sz w:val="28"/>
          <w:szCs w:val="28"/>
          <w:lang w:eastAsia="ru-RU"/>
        </w:rPr>
        <w:t>на соответствующий календарный год;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6E49">
        <w:rPr>
          <w:rFonts w:ascii="Times New Roman" w:hAnsi="Times New Roman" w:cs="Times New Roman"/>
          <w:sz w:val="28"/>
          <w:szCs w:val="28"/>
          <w:lang w:eastAsia="ru-RU"/>
        </w:rPr>
        <w:t>S - площадь нестационарного торгового объекта;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166E49">
        <w:rPr>
          <w:rFonts w:ascii="Times New Roman" w:hAnsi="Times New Roman" w:cs="Times New Roman"/>
          <w:sz w:val="28"/>
          <w:szCs w:val="28"/>
          <w:lang w:eastAsia="ru-RU"/>
        </w:rPr>
        <w:t>Кs</w:t>
      </w:r>
      <w:proofErr w:type="spellEnd"/>
      <w:r w:rsidRPr="00166E49">
        <w:rPr>
          <w:rFonts w:ascii="Times New Roman" w:hAnsi="Times New Roman" w:cs="Times New Roman"/>
          <w:sz w:val="28"/>
          <w:szCs w:val="28"/>
          <w:lang w:eastAsia="ru-RU"/>
        </w:rPr>
        <w:t xml:space="preserve"> - коэффициент зависимости от площади НТО </w:t>
      </w:r>
      <w:hyperlink w:anchor="Par32" w:history="1">
        <w:r w:rsidRPr="00166E49">
          <w:rPr>
            <w:rFonts w:ascii="Times New Roman" w:hAnsi="Times New Roman" w:cs="Times New Roman"/>
            <w:sz w:val="28"/>
            <w:szCs w:val="28"/>
            <w:lang w:eastAsia="ru-RU"/>
          </w:rPr>
          <w:t>(таблица 1)</w:t>
        </w:r>
      </w:hyperlink>
      <w:r w:rsidRPr="00166E49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166E49">
        <w:rPr>
          <w:rFonts w:ascii="Times New Roman" w:hAnsi="Times New Roman" w:cs="Times New Roman"/>
          <w:sz w:val="28"/>
          <w:szCs w:val="28"/>
          <w:lang w:eastAsia="ru-RU"/>
        </w:rPr>
        <w:t>Ксп</w:t>
      </w:r>
      <w:proofErr w:type="spellEnd"/>
      <w:r w:rsidRPr="00166E49">
        <w:rPr>
          <w:rFonts w:ascii="Times New Roman" w:hAnsi="Times New Roman" w:cs="Times New Roman"/>
          <w:sz w:val="28"/>
          <w:szCs w:val="28"/>
          <w:lang w:eastAsia="ru-RU"/>
        </w:rPr>
        <w:t xml:space="preserve"> - коэффициент специализации НТО (ассортимент товаров и услуг, реализуемых в нестационарном торговом объекте) </w:t>
      </w:r>
      <w:hyperlink w:anchor="Par61" w:history="1">
        <w:r w:rsidRPr="00166E49">
          <w:rPr>
            <w:rFonts w:ascii="Times New Roman" w:hAnsi="Times New Roman" w:cs="Times New Roman"/>
            <w:sz w:val="28"/>
            <w:szCs w:val="28"/>
            <w:lang w:eastAsia="ru-RU"/>
          </w:rPr>
          <w:t>(таблица 2)</w:t>
        </w:r>
      </w:hyperlink>
      <w:r w:rsidRPr="00166E49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166E49">
        <w:rPr>
          <w:rFonts w:ascii="Times New Roman" w:hAnsi="Times New Roman" w:cs="Times New Roman"/>
          <w:sz w:val="28"/>
          <w:szCs w:val="28"/>
          <w:lang w:eastAsia="ru-RU"/>
        </w:rPr>
        <w:t>Ктер</w:t>
      </w:r>
      <w:proofErr w:type="spellEnd"/>
      <w:r w:rsidRPr="00166E49">
        <w:rPr>
          <w:rFonts w:ascii="Times New Roman" w:hAnsi="Times New Roman" w:cs="Times New Roman"/>
          <w:sz w:val="28"/>
          <w:szCs w:val="28"/>
          <w:lang w:eastAsia="ru-RU"/>
        </w:rPr>
        <w:t xml:space="preserve"> - коэффициент, учитывающий территориальное местонахождение нестационарного торгового объекта </w:t>
      </w:r>
      <w:hyperlink w:anchor="Par107" w:history="1">
        <w:r w:rsidRPr="00166E49">
          <w:rPr>
            <w:rFonts w:ascii="Times New Roman" w:hAnsi="Times New Roman" w:cs="Times New Roman"/>
            <w:sz w:val="28"/>
            <w:szCs w:val="28"/>
            <w:lang w:eastAsia="ru-RU"/>
          </w:rPr>
          <w:t>(таблица 3)</w:t>
        </w:r>
      </w:hyperlink>
      <w:r w:rsidRPr="00166E49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166E49">
        <w:rPr>
          <w:rFonts w:ascii="Times New Roman" w:hAnsi="Times New Roman" w:cs="Times New Roman"/>
          <w:sz w:val="28"/>
          <w:szCs w:val="28"/>
          <w:lang w:eastAsia="ru-RU"/>
        </w:rPr>
        <w:t>Кп</w:t>
      </w:r>
      <w:proofErr w:type="spellEnd"/>
      <w:r w:rsidRPr="00166E49">
        <w:rPr>
          <w:rFonts w:ascii="Times New Roman" w:hAnsi="Times New Roman" w:cs="Times New Roman"/>
          <w:sz w:val="28"/>
          <w:szCs w:val="28"/>
          <w:lang w:eastAsia="ru-RU"/>
        </w:rPr>
        <w:t xml:space="preserve"> - коэффициент, учитывающий расположение НТО с учетом проходимости населения </w:t>
      </w:r>
      <w:hyperlink w:anchor="Par116" w:history="1">
        <w:r w:rsidRPr="00166E49">
          <w:rPr>
            <w:rFonts w:ascii="Times New Roman" w:hAnsi="Times New Roman" w:cs="Times New Roman"/>
            <w:sz w:val="28"/>
            <w:szCs w:val="28"/>
            <w:lang w:eastAsia="ru-RU"/>
          </w:rPr>
          <w:t>(таблица 4)</w:t>
        </w:r>
      </w:hyperlink>
      <w:r w:rsidRPr="00166E49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6E49">
        <w:rPr>
          <w:rFonts w:ascii="Times New Roman" w:hAnsi="Times New Roman" w:cs="Times New Roman"/>
          <w:sz w:val="28"/>
          <w:szCs w:val="28"/>
          <w:lang w:eastAsia="ru-RU"/>
        </w:rPr>
        <w:t>2. Исчисление платы на срок менее года осуществляется по следующей формуле: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6E49">
        <w:rPr>
          <w:rFonts w:ascii="Times New Roman" w:hAnsi="Times New Roman" w:cs="Times New Roman"/>
          <w:sz w:val="28"/>
          <w:szCs w:val="28"/>
          <w:lang w:eastAsia="ru-RU"/>
        </w:rPr>
        <w:t xml:space="preserve">ЦД = (БС x S x </w:t>
      </w:r>
      <w:proofErr w:type="spellStart"/>
      <w:r w:rsidRPr="00166E49">
        <w:rPr>
          <w:rFonts w:ascii="Times New Roman" w:hAnsi="Times New Roman" w:cs="Times New Roman"/>
          <w:sz w:val="28"/>
          <w:szCs w:val="28"/>
          <w:lang w:eastAsia="ru-RU"/>
        </w:rPr>
        <w:t>Кs</w:t>
      </w:r>
      <w:proofErr w:type="spellEnd"/>
      <w:r w:rsidRPr="00166E49">
        <w:rPr>
          <w:rFonts w:ascii="Times New Roman" w:hAnsi="Times New Roman" w:cs="Times New Roman"/>
          <w:sz w:val="28"/>
          <w:szCs w:val="28"/>
          <w:lang w:eastAsia="ru-RU"/>
        </w:rPr>
        <w:t xml:space="preserve"> x </w:t>
      </w:r>
      <w:proofErr w:type="spellStart"/>
      <w:r w:rsidRPr="00166E49">
        <w:rPr>
          <w:rFonts w:ascii="Times New Roman" w:hAnsi="Times New Roman" w:cs="Times New Roman"/>
          <w:sz w:val="28"/>
          <w:szCs w:val="28"/>
          <w:lang w:eastAsia="ru-RU"/>
        </w:rPr>
        <w:t>Ксп</w:t>
      </w:r>
      <w:proofErr w:type="spellEnd"/>
      <w:r w:rsidRPr="00166E49">
        <w:rPr>
          <w:rFonts w:ascii="Times New Roman" w:hAnsi="Times New Roman" w:cs="Times New Roman"/>
          <w:sz w:val="28"/>
          <w:szCs w:val="28"/>
          <w:lang w:eastAsia="ru-RU"/>
        </w:rPr>
        <w:t xml:space="preserve"> x </w:t>
      </w:r>
      <w:proofErr w:type="spellStart"/>
      <w:r w:rsidRPr="00166E49">
        <w:rPr>
          <w:rFonts w:ascii="Times New Roman" w:hAnsi="Times New Roman" w:cs="Times New Roman"/>
          <w:sz w:val="28"/>
          <w:szCs w:val="28"/>
          <w:lang w:eastAsia="ru-RU"/>
        </w:rPr>
        <w:t>Ктер</w:t>
      </w:r>
      <w:proofErr w:type="spellEnd"/>
      <w:r w:rsidRPr="00166E49">
        <w:rPr>
          <w:rFonts w:ascii="Times New Roman" w:hAnsi="Times New Roman" w:cs="Times New Roman"/>
          <w:sz w:val="28"/>
          <w:szCs w:val="28"/>
          <w:lang w:eastAsia="ru-RU"/>
        </w:rPr>
        <w:t xml:space="preserve"> x </w:t>
      </w:r>
      <w:proofErr w:type="spellStart"/>
      <w:r w:rsidRPr="00166E49">
        <w:rPr>
          <w:rFonts w:ascii="Times New Roman" w:hAnsi="Times New Roman" w:cs="Times New Roman"/>
          <w:sz w:val="28"/>
          <w:szCs w:val="28"/>
          <w:lang w:eastAsia="ru-RU"/>
        </w:rPr>
        <w:t>Кп</w:t>
      </w:r>
      <w:proofErr w:type="spellEnd"/>
      <w:r w:rsidRPr="00166E49">
        <w:rPr>
          <w:rFonts w:ascii="Times New Roman" w:hAnsi="Times New Roman" w:cs="Times New Roman"/>
          <w:sz w:val="28"/>
          <w:szCs w:val="28"/>
          <w:lang w:eastAsia="ru-RU"/>
        </w:rPr>
        <w:t>) / Г x ЧД, где: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6E49">
        <w:rPr>
          <w:rFonts w:ascii="Times New Roman" w:hAnsi="Times New Roman" w:cs="Times New Roman"/>
          <w:sz w:val="28"/>
          <w:szCs w:val="28"/>
          <w:lang w:eastAsia="ru-RU"/>
        </w:rPr>
        <w:t>Г - количество дней в году;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6E49">
        <w:rPr>
          <w:rFonts w:ascii="Times New Roman" w:hAnsi="Times New Roman" w:cs="Times New Roman"/>
          <w:sz w:val="28"/>
          <w:szCs w:val="28"/>
          <w:lang w:eastAsia="ru-RU"/>
        </w:rPr>
        <w:t>ЧД - число дней, в течение которых размещается нестационарный торговый объект;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bookmarkStart w:id="10" w:name="Par32"/>
      <w:bookmarkEnd w:id="10"/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166E49">
        <w:rPr>
          <w:rFonts w:ascii="Times New Roman" w:hAnsi="Times New Roman" w:cs="Times New Roman"/>
          <w:sz w:val="28"/>
          <w:szCs w:val="28"/>
          <w:lang w:eastAsia="ru-RU"/>
        </w:rPr>
        <w:t>Таблица 1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166E49">
        <w:rPr>
          <w:rFonts w:ascii="Times New Roman" w:hAnsi="Times New Roman" w:cs="Times New Roman"/>
          <w:sz w:val="28"/>
          <w:szCs w:val="28"/>
          <w:lang w:eastAsia="ru-RU"/>
        </w:rPr>
        <w:t>Кs</w:t>
      </w:r>
      <w:proofErr w:type="spellEnd"/>
      <w:r w:rsidRPr="00166E49">
        <w:rPr>
          <w:rFonts w:ascii="Times New Roman" w:hAnsi="Times New Roman" w:cs="Times New Roman"/>
          <w:sz w:val="28"/>
          <w:szCs w:val="28"/>
          <w:lang w:eastAsia="ru-RU"/>
        </w:rPr>
        <w:t xml:space="preserve"> - Коэффициент зависимости от площади НТО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04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7655"/>
        <w:gridCol w:w="1984"/>
      </w:tblGrid>
      <w:tr w:rsidR="00166E49" w:rsidRPr="00166E49" w:rsidTr="00F52CC5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Значение коэффициента</w:t>
            </w:r>
          </w:p>
        </w:tc>
      </w:tr>
      <w:tr w:rsidR="00166E49" w:rsidRPr="00166E49" w:rsidTr="00F52CC5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Торговый (</w:t>
            </w:r>
            <w:proofErr w:type="spellStart"/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вендинговый</w:t>
            </w:r>
            <w:proofErr w:type="spellEnd"/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 автомат, уличный холодильник, бахчевой развал, елочный базар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166E49" w:rsidRPr="00166E49" w:rsidTr="00F52CC5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Нестационарные передвижные торговые объекты (автоприцепы, палатки, лотки, автомагазины, автофургоны, автолавки, автоцистерны, тележки и другие аналогичные объекты) за исключением торговых (</w:t>
            </w:r>
            <w:proofErr w:type="spellStart"/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вендинговых</w:t>
            </w:r>
            <w:proofErr w:type="spellEnd"/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 автоматов, уличных холодильников и торговых объектов площадью более 5 квадратных метров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166E49" w:rsidRPr="00166E49" w:rsidTr="00F52CC5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Нестационарные торговые объекты площадью до 10 квадратных метров включительно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</w:tr>
      <w:tr w:rsidR="00166E49" w:rsidRPr="00166E49" w:rsidTr="00F52CC5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Нестационарные торговые объекты площадью более 10 квадратных метров до 15 квадратных метров включительно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</w:tr>
      <w:tr w:rsidR="00166E49" w:rsidRPr="00166E49" w:rsidTr="00F52CC5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Нестационарные торговые объекты площадью более 15 квадратных метров до 20 квадратных метров включительно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</w:tr>
      <w:tr w:rsidR="00166E49" w:rsidRPr="00166E49" w:rsidTr="00F52CC5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Нестационарные торговые объекты площадью более 20 квадратных метров до 25 квадратных метров включительно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</w:tr>
      <w:tr w:rsidR="00166E49" w:rsidRPr="00166E49" w:rsidTr="00F52CC5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Нестационарные торговые объекты площадью более 25 квадратных метров до 30 квадратных метров включительно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</w:tr>
      <w:tr w:rsidR="00166E49" w:rsidRPr="00166E49" w:rsidTr="00F52CC5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Нестационарные торговые объекты площадью более 30 квадратных метров до 35 квадратных метров включительно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</w:tr>
      <w:tr w:rsidR="00166E49" w:rsidRPr="00166E49" w:rsidTr="00F52CC5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Нестационарные торговые объекты площадью более 35 квадратных метров до 40 квадратных метров включительно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</w:tr>
      <w:tr w:rsidR="00166E49" w:rsidRPr="00166E49" w:rsidTr="00F52CC5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Нестационарные торговые объекты площадью более 40 квадратных метров до 50 квадратных метров включительно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</w:tr>
      <w:tr w:rsidR="00166E49" w:rsidRPr="00166E49" w:rsidTr="00F52CC5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Нестационарные торговые объекты площадью более 50 квадратных метров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</w:tr>
    </w:tbl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166E4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Таблица 2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166E49">
        <w:rPr>
          <w:rFonts w:ascii="Times New Roman" w:hAnsi="Times New Roman" w:cs="Times New Roman"/>
          <w:sz w:val="28"/>
          <w:szCs w:val="28"/>
          <w:lang w:eastAsia="ru-RU"/>
        </w:rPr>
        <w:t>Ксп</w:t>
      </w:r>
      <w:proofErr w:type="spellEnd"/>
      <w:r w:rsidRPr="00166E49">
        <w:rPr>
          <w:rFonts w:ascii="Times New Roman" w:hAnsi="Times New Roman" w:cs="Times New Roman"/>
          <w:sz w:val="28"/>
          <w:szCs w:val="28"/>
          <w:lang w:eastAsia="ru-RU"/>
        </w:rPr>
        <w:t xml:space="preserve"> – коэффициент специализации НТО</w:t>
      </w:r>
      <w:bookmarkStart w:id="11" w:name="Par61"/>
      <w:bookmarkEnd w:id="11"/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04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7655"/>
        <w:gridCol w:w="1984"/>
      </w:tblGrid>
      <w:tr w:rsidR="00166E49" w:rsidRPr="00166E49" w:rsidTr="00F52CC5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Значение коэффициента</w:t>
            </w:r>
          </w:p>
        </w:tc>
      </w:tr>
      <w:tr w:rsidR="00166E49" w:rsidRPr="00166E49" w:rsidTr="00F52CC5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Смешанный ассортимент (продовольственные и непродовольственные товары)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3,2</w:t>
            </w:r>
          </w:p>
        </w:tc>
      </w:tr>
      <w:tr w:rsidR="00166E49" w:rsidRPr="00166E49" w:rsidTr="00F52CC5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Услуги общественного питания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3,5</w:t>
            </w:r>
          </w:p>
        </w:tc>
      </w:tr>
      <w:tr w:rsidR="00166E49" w:rsidRPr="00166E49" w:rsidTr="00F52CC5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Продовольственные товары (смешанный ассортимент)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3,0</w:t>
            </w:r>
          </w:p>
        </w:tc>
      </w:tr>
      <w:tr w:rsidR="00166E49" w:rsidRPr="00166E49" w:rsidTr="00F52CC5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Прохладительные (безалкогольные) напитки, соки, квас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3,0</w:t>
            </w:r>
          </w:p>
        </w:tc>
      </w:tr>
      <w:tr w:rsidR="00166E49" w:rsidRPr="00166E49" w:rsidTr="00F52CC5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Непродовольственные товары (смешанный ассортимент)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2,5</w:t>
            </w:r>
          </w:p>
        </w:tc>
      </w:tr>
      <w:tr w:rsidR="00166E49" w:rsidRPr="00166E49" w:rsidTr="00F52CC5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Молоко и молочная продукция, торговля мороженым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2,5</w:t>
            </w:r>
          </w:p>
        </w:tc>
      </w:tr>
      <w:tr w:rsidR="00166E49" w:rsidRPr="00166E49" w:rsidTr="00F52CC5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Периодическая печать и сопутствующие товары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2,5</w:t>
            </w:r>
          </w:p>
        </w:tc>
      </w:tr>
      <w:tr w:rsidR="00166E49" w:rsidRPr="00166E49" w:rsidTr="00F52CC5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Цветы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3,0</w:t>
            </w:r>
          </w:p>
        </w:tc>
      </w:tr>
      <w:tr w:rsidR="00166E49" w:rsidRPr="00166E49" w:rsidTr="00F52CC5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Табачная продукция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4,5</w:t>
            </w:r>
          </w:p>
        </w:tc>
      </w:tr>
      <w:tr w:rsidR="00166E49" w:rsidRPr="00166E49" w:rsidTr="00F52CC5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Услуги бытового обслуживания и прием стеклотары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1,5</w:t>
            </w:r>
          </w:p>
        </w:tc>
      </w:tr>
      <w:tr w:rsidR="00166E49" w:rsidRPr="00166E49" w:rsidTr="00F52CC5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Хлеб и кондитерские изделия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2,5</w:t>
            </w:r>
          </w:p>
        </w:tc>
      </w:tr>
      <w:tr w:rsidR="00166E49" w:rsidRPr="00166E49" w:rsidTr="00F52CC5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Елочный базар </w:t>
            </w:r>
            <w:hyperlink w:anchor="Par101" w:history="1">
              <w:r w:rsidRPr="00166E49">
                <w:rPr>
                  <w:rFonts w:ascii="Times New Roman" w:hAnsi="Times New Roman" w:cs="Times New Roman"/>
                  <w:sz w:val="28"/>
                  <w:szCs w:val="28"/>
                  <w:lang w:eastAsia="ru-RU"/>
                </w:rPr>
                <w:t>&lt;*&gt;</w:t>
              </w:r>
            </w:hyperlink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166E49" w:rsidRPr="00166E49" w:rsidTr="00F52CC5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Бахчевой развал </w:t>
            </w:r>
            <w:hyperlink w:anchor="Par102" w:history="1">
              <w:r w:rsidRPr="00166E49">
                <w:rPr>
                  <w:rFonts w:ascii="Times New Roman" w:hAnsi="Times New Roman" w:cs="Times New Roman"/>
                  <w:sz w:val="28"/>
                  <w:szCs w:val="28"/>
                  <w:lang w:eastAsia="ru-RU"/>
                </w:rPr>
                <w:t>&lt;**&gt;</w:t>
              </w:r>
            </w:hyperlink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3,0</w:t>
            </w:r>
          </w:p>
        </w:tc>
      </w:tr>
      <w:tr w:rsidR="00166E49" w:rsidRPr="00166E49" w:rsidTr="00F52CC5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Овощи и фрукты (ягоды) (при реализации сезонной продукции) </w:t>
            </w:r>
            <w:hyperlink w:anchor="Par103" w:history="1">
              <w:r w:rsidRPr="00166E49">
                <w:rPr>
                  <w:rFonts w:ascii="Times New Roman" w:hAnsi="Times New Roman" w:cs="Times New Roman"/>
                  <w:sz w:val="28"/>
                  <w:szCs w:val="28"/>
                  <w:lang w:eastAsia="ru-RU"/>
                </w:rPr>
                <w:t>&lt;***&gt;</w:t>
              </w:r>
            </w:hyperlink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3,0</w:t>
            </w:r>
          </w:p>
        </w:tc>
      </w:tr>
      <w:tr w:rsidR="00166E49" w:rsidRPr="00166E49" w:rsidTr="00F52CC5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2,8</w:t>
            </w:r>
          </w:p>
        </w:tc>
      </w:tr>
      <w:tr w:rsidR="00166E49" w:rsidRPr="00166E49" w:rsidTr="00F52CC5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Ритуальная продукция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6,0</w:t>
            </w:r>
          </w:p>
        </w:tc>
      </w:tr>
      <w:tr w:rsidR="00166E49" w:rsidRPr="00166E49" w:rsidTr="00F52CC5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Прочие услуги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3,0</w:t>
            </w:r>
          </w:p>
        </w:tc>
      </w:tr>
    </w:tbl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2" w:name="Par101"/>
      <w:bookmarkEnd w:id="12"/>
      <w:r w:rsidRPr="00166E49">
        <w:rPr>
          <w:rFonts w:ascii="Times New Roman" w:hAnsi="Times New Roman" w:cs="Times New Roman"/>
          <w:sz w:val="28"/>
          <w:szCs w:val="28"/>
          <w:lang w:eastAsia="ru-RU"/>
        </w:rPr>
        <w:t>&lt;*&gt; Размещается ежегодно с 20 декабря по 5 января.</w:t>
      </w:r>
      <w:bookmarkStart w:id="13" w:name="Par102"/>
      <w:bookmarkEnd w:id="13"/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66E49">
        <w:rPr>
          <w:rFonts w:ascii="Times New Roman" w:hAnsi="Times New Roman" w:cs="Times New Roman"/>
          <w:sz w:val="28"/>
          <w:szCs w:val="28"/>
          <w:lang w:eastAsia="ru-RU"/>
        </w:rPr>
        <w:t>&lt;**&gt; Размещается ежегодно с 1 августа по 1 ноября.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4" w:name="Par103"/>
      <w:bookmarkEnd w:id="14"/>
      <w:r w:rsidRPr="00166E49">
        <w:rPr>
          <w:rFonts w:ascii="Times New Roman" w:hAnsi="Times New Roman" w:cs="Times New Roman"/>
          <w:sz w:val="28"/>
          <w:szCs w:val="28"/>
          <w:lang w:eastAsia="ru-RU"/>
        </w:rPr>
        <w:t xml:space="preserve">&lt;***&gt; Киоски по продаже </w:t>
      </w:r>
      <w:proofErr w:type="gramStart"/>
      <w:r w:rsidRPr="00166E49">
        <w:rPr>
          <w:rFonts w:ascii="Times New Roman" w:hAnsi="Times New Roman" w:cs="Times New Roman"/>
          <w:sz w:val="28"/>
          <w:szCs w:val="28"/>
          <w:lang w:eastAsia="ru-RU"/>
        </w:rPr>
        <w:t>плодово-овощной</w:t>
      </w:r>
      <w:proofErr w:type="gramEnd"/>
      <w:r w:rsidRPr="00166E49">
        <w:rPr>
          <w:rFonts w:ascii="Times New Roman" w:hAnsi="Times New Roman" w:cs="Times New Roman"/>
          <w:sz w:val="28"/>
          <w:szCs w:val="28"/>
          <w:lang w:eastAsia="ru-RU"/>
        </w:rPr>
        <w:t xml:space="preserve"> продукции размещаются ежегодно с 1 апреля по 1 ноября.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166E49">
        <w:rPr>
          <w:rFonts w:ascii="Times New Roman" w:hAnsi="Times New Roman" w:cs="Times New Roman"/>
          <w:sz w:val="28"/>
          <w:szCs w:val="28"/>
          <w:lang w:eastAsia="ru-RU"/>
        </w:rPr>
        <w:t>Таблица 3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166E4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Ктер</w:t>
      </w:r>
      <w:proofErr w:type="spellEnd"/>
      <w:r w:rsidRPr="00166E49">
        <w:rPr>
          <w:rFonts w:ascii="Times New Roman" w:hAnsi="Times New Roman" w:cs="Times New Roman"/>
          <w:sz w:val="28"/>
          <w:szCs w:val="28"/>
          <w:lang w:eastAsia="ru-RU"/>
        </w:rPr>
        <w:t xml:space="preserve"> - территориальный коэффициент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019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84"/>
        <w:gridCol w:w="1912"/>
      </w:tblGrid>
      <w:tr w:rsidR="00166E49" w:rsidRPr="00166E49" w:rsidTr="00F52CC5">
        <w:tc>
          <w:tcPr>
            <w:tcW w:w="8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Значение коэффициента</w:t>
            </w:r>
          </w:p>
        </w:tc>
      </w:tr>
      <w:tr w:rsidR="00166E49" w:rsidRPr="00166E49" w:rsidTr="00F52CC5">
        <w:tc>
          <w:tcPr>
            <w:tcW w:w="8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 территории городского округа Люберцы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0,8</w:t>
            </w:r>
          </w:p>
        </w:tc>
      </w:tr>
    </w:tbl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bookmarkStart w:id="15" w:name="Par116"/>
      <w:bookmarkEnd w:id="15"/>
      <w:r w:rsidRPr="00166E49">
        <w:rPr>
          <w:rFonts w:ascii="Times New Roman" w:hAnsi="Times New Roman" w:cs="Times New Roman"/>
          <w:sz w:val="28"/>
          <w:szCs w:val="28"/>
          <w:lang w:eastAsia="ru-RU"/>
        </w:rPr>
        <w:t>Таблица 4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166E49">
        <w:rPr>
          <w:rFonts w:ascii="Times New Roman" w:hAnsi="Times New Roman" w:cs="Times New Roman"/>
          <w:sz w:val="28"/>
          <w:szCs w:val="28"/>
          <w:lang w:eastAsia="ru-RU"/>
        </w:rPr>
        <w:t>Кп</w:t>
      </w:r>
      <w:proofErr w:type="spellEnd"/>
      <w:r w:rsidRPr="00166E49">
        <w:rPr>
          <w:rFonts w:ascii="Times New Roman" w:hAnsi="Times New Roman" w:cs="Times New Roman"/>
          <w:sz w:val="28"/>
          <w:szCs w:val="28"/>
          <w:lang w:eastAsia="ru-RU"/>
        </w:rPr>
        <w:t xml:space="preserve"> - коэффициент, учитывающий расположение НТО с учетом проходимости населения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019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42"/>
        <w:gridCol w:w="2054"/>
      </w:tblGrid>
      <w:tr w:rsidR="00166E49" w:rsidRPr="00166E49" w:rsidTr="00F52CC5"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Значение коэффициента</w:t>
            </w:r>
          </w:p>
        </w:tc>
      </w:tr>
      <w:tr w:rsidR="00166E49" w:rsidRPr="00166E49" w:rsidTr="00F52CC5"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Территории массового скопления людей, расположенные не более 100 м от ж/д станций и станций метро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1,1</w:t>
            </w:r>
          </w:p>
        </w:tc>
      </w:tr>
      <w:tr w:rsidR="00166E49" w:rsidRPr="00166E49" w:rsidTr="00F52CC5"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Территории, расположенные на расстоянии более 100 м от ж/д станций и станций метро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E49" w:rsidRPr="00166E49" w:rsidRDefault="00166E49" w:rsidP="00166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66E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</w:tbl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66E49" w:rsidRPr="00166E49" w:rsidRDefault="00166E49" w:rsidP="00166E49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</w:p>
    <w:p w:rsidR="00166E49" w:rsidRPr="00166E49" w:rsidRDefault="00166E49" w:rsidP="00166E49">
      <w:pPr>
        <w:spacing w:after="200" w:line="276" w:lineRule="auto"/>
      </w:pPr>
    </w:p>
    <w:p w:rsidR="00166E49" w:rsidRPr="00166E49" w:rsidRDefault="00166E49" w:rsidP="00166E49">
      <w:pPr>
        <w:spacing w:after="200" w:line="276" w:lineRule="auto"/>
      </w:pPr>
    </w:p>
    <w:p w:rsidR="00166E49" w:rsidRPr="00166E49" w:rsidRDefault="00166E49" w:rsidP="00166E49">
      <w:pPr>
        <w:spacing w:after="200" w:line="276" w:lineRule="auto"/>
      </w:pPr>
    </w:p>
    <w:p w:rsidR="00166E49" w:rsidRPr="00166E49" w:rsidRDefault="00166E49" w:rsidP="00166E49">
      <w:pPr>
        <w:spacing w:after="200" w:line="276" w:lineRule="auto"/>
      </w:pPr>
    </w:p>
    <w:p w:rsidR="00166E49" w:rsidRPr="00166E49" w:rsidRDefault="00166E49" w:rsidP="00166E49">
      <w:pPr>
        <w:spacing w:after="200" w:line="276" w:lineRule="auto"/>
      </w:pPr>
    </w:p>
    <w:p w:rsidR="00166E49" w:rsidRPr="00166E49" w:rsidRDefault="00166E49" w:rsidP="00166E49">
      <w:pPr>
        <w:spacing w:after="200" w:line="276" w:lineRule="auto"/>
      </w:pPr>
    </w:p>
    <w:p w:rsidR="00166E49" w:rsidRPr="00166E49" w:rsidRDefault="00166E49" w:rsidP="00166E49">
      <w:pPr>
        <w:spacing w:after="200" w:line="276" w:lineRule="auto"/>
      </w:pPr>
    </w:p>
    <w:p w:rsidR="00166E49" w:rsidRPr="00166E49" w:rsidRDefault="00166E49" w:rsidP="00166E49">
      <w:pPr>
        <w:spacing w:after="200" w:line="276" w:lineRule="auto"/>
      </w:pPr>
    </w:p>
    <w:p w:rsidR="00166E49" w:rsidRPr="00166E49" w:rsidRDefault="00166E49" w:rsidP="00166E49">
      <w:pPr>
        <w:spacing w:after="200" w:line="276" w:lineRule="auto"/>
      </w:pPr>
    </w:p>
    <w:p w:rsidR="00166E49" w:rsidRPr="00166E49" w:rsidRDefault="00166E49" w:rsidP="00166E49">
      <w:pPr>
        <w:spacing w:after="200" w:line="276" w:lineRule="auto"/>
      </w:pPr>
    </w:p>
    <w:p w:rsidR="00166E49" w:rsidRDefault="00166E49" w:rsidP="00166E49">
      <w:pPr>
        <w:spacing w:after="200" w:line="276" w:lineRule="auto"/>
      </w:pPr>
    </w:p>
    <w:p w:rsidR="00166E49" w:rsidRDefault="00166E49" w:rsidP="00166E49">
      <w:pPr>
        <w:spacing w:after="200" w:line="276" w:lineRule="auto"/>
      </w:pPr>
    </w:p>
    <w:p w:rsidR="00166E49" w:rsidRDefault="00166E49" w:rsidP="00166E49">
      <w:pPr>
        <w:spacing w:after="200" w:line="276" w:lineRule="auto"/>
      </w:pPr>
    </w:p>
    <w:p w:rsidR="00166E49" w:rsidRPr="00166E49" w:rsidRDefault="00166E49" w:rsidP="00166E49">
      <w:pPr>
        <w:spacing w:after="200" w:line="276" w:lineRule="auto"/>
      </w:pPr>
    </w:p>
    <w:p w:rsidR="00166E49" w:rsidRPr="00166E49" w:rsidRDefault="00166E49" w:rsidP="00166E49">
      <w:pPr>
        <w:spacing w:after="200" w:line="276" w:lineRule="auto"/>
      </w:pP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166E49">
        <w:rPr>
          <w:rFonts w:ascii="Times New Roman" w:hAnsi="Times New Roman" w:cs="Times New Roman"/>
          <w:sz w:val="28"/>
          <w:szCs w:val="28"/>
          <w:lang w:eastAsia="ru-RU"/>
        </w:rPr>
        <w:t>Приложение № 3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166E49">
        <w:rPr>
          <w:rFonts w:ascii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166E49">
        <w:rPr>
          <w:rFonts w:ascii="Times New Roman" w:hAnsi="Times New Roman" w:cs="Times New Roman"/>
          <w:sz w:val="28"/>
          <w:szCs w:val="28"/>
          <w:lang w:eastAsia="ru-RU"/>
        </w:rPr>
        <w:t xml:space="preserve"> решению Совета депутатов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166E49">
        <w:rPr>
          <w:rFonts w:ascii="Times New Roman" w:hAnsi="Times New Roman" w:cs="Times New Roman"/>
          <w:sz w:val="28"/>
          <w:szCs w:val="28"/>
          <w:lang w:eastAsia="ru-RU"/>
        </w:rPr>
        <w:t>городского</w:t>
      </w:r>
      <w:proofErr w:type="gramEnd"/>
      <w:r w:rsidRPr="00166E49">
        <w:rPr>
          <w:rFonts w:ascii="Times New Roman" w:hAnsi="Times New Roman" w:cs="Times New Roman"/>
          <w:sz w:val="28"/>
          <w:szCs w:val="28"/>
          <w:lang w:eastAsia="ru-RU"/>
        </w:rPr>
        <w:t xml:space="preserve"> округа Люберцы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166E49">
        <w:rPr>
          <w:rFonts w:ascii="Times New Roman" w:hAnsi="Times New Roman" w:cs="Times New Roman"/>
          <w:sz w:val="28"/>
          <w:szCs w:val="28"/>
          <w:lang w:eastAsia="ru-RU"/>
        </w:rPr>
        <w:t>Московской области</w:t>
      </w:r>
    </w:p>
    <w:p w:rsidR="00166E49" w:rsidRPr="00166E49" w:rsidRDefault="00166E49" w:rsidP="00166E49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166E49">
        <w:rPr>
          <w:rFonts w:ascii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hAnsi="Times New Roman" w:cs="Times New Roman"/>
          <w:sz w:val="28"/>
          <w:szCs w:val="28"/>
          <w:lang w:eastAsia="ru-RU"/>
        </w:rPr>
        <w:t>10.04.2024 № 152/23</w:t>
      </w:r>
      <w:bookmarkStart w:id="16" w:name="_GoBack"/>
      <w:bookmarkEnd w:id="16"/>
    </w:p>
    <w:p w:rsidR="00166E49" w:rsidRPr="00166E49" w:rsidRDefault="00166E49" w:rsidP="00166E49">
      <w:pPr>
        <w:spacing w:after="200" w:line="276" w:lineRule="auto"/>
      </w:pPr>
    </w:p>
    <w:p w:rsidR="00166E49" w:rsidRPr="00166E49" w:rsidRDefault="00166E49" w:rsidP="00166E49">
      <w:pPr>
        <w:autoSpaceDE w:val="0"/>
        <w:autoSpaceDN w:val="0"/>
        <w:adjustRightInd w:val="0"/>
        <w:spacing w:after="20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166E4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Методика </w:t>
      </w:r>
    </w:p>
    <w:p w:rsidR="00166E49" w:rsidRPr="00166E49" w:rsidRDefault="00166E49" w:rsidP="00166E49">
      <w:pPr>
        <w:autoSpaceDE w:val="0"/>
        <w:autoSpaceDN w:val="0"/>
        <w:adjustRightInd w:val="0"/>
        <w:spacing w:after="20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proofErr w:type="gramStart"/>
      <w:r w:rsidRPr="00166E4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расчета</w:t>
      </w:r>
      <w:proofErr w:type="gramEnd"/>
      <w:r w:rsidRPr="00166E4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платы за размещение сезонного элемента благоустройства </w:t>
      </w:r>
    </w:p>
    <w:p w:rsidR="00166E49" w:rsidRPr="00166E49" w:rsidRDefault="00166E49" w:rsidP="00166E49">
      <w:pPr>
        <w:autoSpaceDE w:val="0"/>
        <w:autoSpaceDN w:val="0"/>
        <w:adjustRightInd w:val="0"/>
        <w:spacing w:after="20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proofErr w:type="gramStart"/>
      <w:r w:rsidRPr="00166E4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при</w:t>
      </w:r>
      <w:proofErr w:type="gramEnd"/>
      <w:r w:rsidRPr="00166E4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нестационарном торговой объекте на территории городского округа Люберцы Московской области </w:t>
      </w:r>
    </w:p>
    <w:p w:rsidR="00166E49" w:rsidRPr="00166E49" w:rsidRDefault="00166E49" w:rsidP="00166E49">
      <w:pPr>
        <w:autoSpaceDE w:val="0"/>
        <w:autoSpaceDN w:val="0"/>
        <w:adjustRightInd w:val="0"/>
        <w:spacing w:after="20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166E49" w:rsidRPr="00166E49" w:rsidRDefault="00166E49" w:rsidP="00166E4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  <w:bookmarkStart w:id="17" w:name="P33"/>
      <w:bookmarkEnd w:id="17"/>
    </w:p>
    <w:p w:rsidR="00166E49" w:rsidRPr="00166E49" w:rsidRDefault="00166E49" w:rsidP="00166E4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66E49">
        <w:rPr>
          <w:rFonts w:ascii="Times New Roman" w:eastAsiaTheme="minorEastAsia" w:hAnsi="Times New Roman" w:cs="Times New Roman"/>
          <w:sz w:val="28"/>
          <w:szCs w:val="28"/>
          <w:lang w:eastAsia="ru-RU"/>
        </w:rPr>
        <w:t>1. Формула для расчета размера платы за размещение сезонного элемента благоустройства:</w:t>
      </w:r>
    </w:p>
    <w:p w:rsidR="00166E49" w:rsidRPr="00166E49" w:rsidRDefault="00166E49" w:rsidP="00166E49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12"/>
          <w:szCs w:val="12"/>
          <w:lang w:eastAsia="ru-RU"/>
        </w:rPr>
      </w:pPr>
    </w:p>
    <w:p w:rsidR="00166E49" w:rsidRPr="00166E49" w:rsidRDefault="00166E49" w:rsidP="00166E4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166E49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Апл</w:t>
      </w:r>
      <w:proofErr w:type="spellEnd"/>
      <w:r w:rsidRPr="00166E4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= Аб x Кд x </w:t>
      </w:r>
      <w:proofErr w:type="spellStart"/>
      <w:r w:rsidRPr="00166E4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Пкд</w:t>
      </w:r>
      <w:proofErr w:type="spellEnd"/>
      <w:r w:rsidRPr="00166E4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x Км x S, где:</w:t>
      </w:r>
    </w:p>
    <w:p w:rsidR="00166E49" w:rsidRPr="00166E49" w:rsidRDefault="00166E49" w:rsidP="00166E4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166E49" w:rsidRPr="00166E49" w:rsidRDefault="00166E49" w:rsidP="00166E4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166E49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Апл</w:t>
      </w:r>
      <w:proofErr w:type="spellEnd"/>
      <w:r w:rsidRPr="00166E4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ежегодная сумма платы за место размещения сезонного элемента благоустройства;</w:t>
      </w:r>
    </w:p>
    <w:p w:rsidR="00166E49" w:rsidRPr="00166E49" w:rsidRDefault="00166E49" w:rsidP="00166E49">
      <w:pPr>
        <w:widowControl w:val="0"/>
        <w:autoSpaceDE w:val="0"/>
        <w:autoSpaceDN w:val="0"/>
        <w:spacing w:before="200"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66E49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Аб - базовый размер платы за место размещения сезонного элемента благоустройства, применяемый для расчета платы в соответствующем финансовом году, устанавливается законом Московской области «Об установлении базового размера арендной платы на земельные участки, находящиеся в собственности Московской области или государственная собственность на которые не разграничена на территории Московской области».</w:t>
      </w:r>
    </w:p>
    <w:p w:rsidR="00166E49" w:rsidRPr="00166E49" w:rsidRDefault="00166E49" w:rsidP="00166E4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66E4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Кд - коэффициент, учитывающий вид разрешенного использования земельного участка (места размещения сезонного элемента благоустройства) </w:t>
      </w:r>
      <w:proofErr w:type="gramStart"/>
      <w:r w:rsidRPr="00166E4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 равен</w:t>
      </w:r>
      <w:proofErr w:type="gramEnd"/>
      <w:r w:rsidRPr="00166E4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«6» (ВРИ «Предпринимательство»).</w:t>
      </w:r>
    </w:p>
    <w:p w:rsidR="00166E49" w:rsidRPr="00166E49" w:rsidRDefault="00166E49" w:rsidP="00166E49">
      <w:pPr>
        <w:widowControl w:val="0"/>
        <w:autoSpaceDE w:val="0"/>
        <w:autoSpaceDN w:val="0"/>
        <w:spacing w:before="200"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166E4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Пкд</w:t>
      </w:r>
      <w:proofErr w:type="spellEnd"/>
      <w:r w:rsidRPr="00166E4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корректирующий коэффициент, равен «1,2»;</w:t>
      </w:r>
    </w:p>
    <w:p w:rsidR="00166E49" w:rsidRPr="00166E49" w:rsidRDefault="00166E49" w:rsidP="00166E49">
      <w:pPr>
        <w:widowControl w:val="0"/>
        <w:autoSpaceDE w:val="0"/>
        <w:autoSpaceDN w:val="0"/>
        <w:spacing w:before="200"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66E49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Км - коэффициент, учитывающий местоположение земельного участка (места размещения сезонного элемента благоустройства) на территории городского округа Люберцы Московской области, равен «1»;</w:t>
      </w:r>
    </w:p>
    <w:p w:rsidR="00166E49" w:rsidRPr="00166E49" w:rsidRDefault="00166E49" w:rsidP="00166E49">
      <w:pPr>
        <w:widowControl w:val="0"/>
        <w:autoSpaceDE w:val="0"/>
        <w:autoSpaceDN w:val="0"/>
        <w:spacing w:before="200"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66E4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S - площадь земельного участка (места размещения сезонного элемента благоустройства), </w:t>
      </w:r>
      <w:proofErr w:type="spellStart"/>
      <w:r w:rsidRPr="00166E49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кв</w:t>
      </w:r>
      <w:proofErr w:type="spellEnd"/>
      <w:r w:rsidRPr="00166E4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м.</w:t>
      </w:r>
    </w:p>
    <w:p w:rsidR="00166E49" w:rsidRPr="00166E49" w:rsidRDefault="00166E49" w:rsidP="00166E49">
      <w:pPr>
        <w:widowControl w:val="0"/>
        <w:autoSpaceDE w:val="0"/>
        <w:autoSpaceDN w:val="0"/>
        <w:spacing w:before="200"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66E49">
        <w:rPr>
          <w:rFonts w:ascii="Times New Roman" w:eastAsiaTheme="minorEastAsia" w:hAnsi="Times New Roman" w:cs="Times New Roman"/>
          <w:sz w:val="28"/>
          <w:szCs w:val="28"/>
          <w:lang w:eastAsia="ru-RU"/>
        </w:rPr>
        <w:t>2. В случае, если сезонный элемент благоустройства размещается на меньший срок, расчет размера платы осуществляется пропорционально количеству дней размещения.</w:t>
      </w:r>
    </w:p>
    <w:p w:rsidR="00166E49" w:rsidRPr="00166E49" w:rsidRDefault="00166E49" w:rsidP="00166E49">
      <w:pPr>
        <w:spacing w:after="200" w:line="276" w:lineRule="auto"/>
      </w:pPr>
    </w:p>
    <w:p w:rsidR="009819B5" w:rsidRDefault="009819B5"/>
    <w:sectPr w:rsidR="009819B5" w:rsidSect="009E6E9E"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6F0458"/>
    <w:multiLevelType w:val="multilevel"/>
    <w:tmpl w:val="A9A489C2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1">
    <w:nsid w:val="11EC3FB1"/>
    <w:multiLevelType w:val="hybridMultilevel"/>
    <w:tmpl w:val="6F884058"/>
    <w:lvl w:ilvl="0" w:tplc="F01E6D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C8E3780"/>
    <w:multiLevelType w:val="hybridMultilevel"/>
    <w:tmpl w:val="170EC73A"/>
    <w:lvl w:ilvl="0" w:tplc="25BE61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6681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26927542"/>
    <w:multiLevelType w:val="multilevel"/>
    <w:tmpl w:val="57D055FE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28C246EB"/>
    <w:multiLevelType w:val="multilevel"/>
    <w:tmpl w:val="CDC494A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2DCF1C8D"/>
    <w:multiLevelType w:val="hybridMultilevel"/>
    <w:tmpl w:val="081ED43E"/>
    <w:lvl w:ilvl="0" w:tplc="09BCC506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E0E0BAA"/>
    <w:multiLevelType w:val="hybridMultilevel"/>
    <w:tmpl w:val="5F4AF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206151"/>
    <w:multiLevelType w:val="multilevel"/>
    <w:tmpl w:val="4D622F3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3B4F7ACA"/>
    <w:multiLevelType w:val="hybridMultilevel"/>
    <w:tmpl w:val="239A15BE"/>
    <w:lvl w:ilvl="0" w:tplc="193A1C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FF85BDE"/>
    <w:multiLevelType w:val="hybridMultilevel"/>
    <w:tmpl w:val="1898F566"/>
    <w:lvl w:ilvl="0" w:tplc="71A2E5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1F168C"/>
    <w:multiLevelType w:val="hybridMultilevel"/>
    <w:tmpl w:val="9B8CEBD2"/>
    <w:lvl w:ilvl="0" w:tplc="1C6E1E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2E20816"/>
    <w:multiLevelType w:val="hybridMultilevel"/>
    <w:tmpl w:val="F3CEE82C"/>
    <w:lvl w:ilvl="0" w:tplc="2B9689F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5D67EF"/>
    <w:multiLevelType w:val="hybridMultilevel"/>
    <w:tmpl w:val="9ED25974"/>
    <w:lvl w:ilvl="0" w:tplc="134EE2BA">
      <w:start w:val="1"/>
      <w:numFmt w:val="decimal"/>
      <w:pStyle w:val="1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6520808"/>
    <w:multiLevelType w:val="multilevel"/>
    <w:tmpl w:val="AD46D0C0"/>
    <w:lvl w:ilvl="0">
      <w:start w:val="1"/>
      <w:numFmt w:val="decimal"/>
      <w:lvlText w:val="%1."/>
      <w:lvlJc w:val="left"/>
      <w:pPr>
        <w:ind w:left="1360" w:hanging="1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69" w:hanging="1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78" w:hanging="1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87" w:hanging="1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96" w:hanging="1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4DDD6133"/>
    <w:multiLevelType w:val="multilevel"/>
    <w:tmpl w:val="B15A3C24"/>
    <w:lvl w:ilvl="0">
      <w:start w:val="1"/>
      <w:numFmt w:val="decimal"/>
      <w:pStyle w:val="2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pStyle w:val="11"/>
      <w:lvlText w:val="%1.%2."/>
      <w:lvlJc w:val="left"/>
      <w:pPr>
        <w:ind w:left="1572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lvlText w:val="%1.%2.%3."/>
      <w:lvlJc w:val="left"/>
      <w:pPr>
        <w:ind w:left="1288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6">
    <w:nsid w:val="512D6765"/>
    <w:multiLevelType w:val="hybridMultilevel"/>
    <w:tmpl w:val="D01655E8"/>
    <w:lvl w:ilvl="0" w:tplc="2C9A6EC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165D32"/>
    <w:multiLevelType w:val="hybridMultilevel"/>
    <w:tmpl w:val="DB804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42783B"/>
    <w:multiLevelType w:val="hybridMultilevel"/>
    <w:tmpl w:val="AF7A6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7402EA"/>
    <w:multiLevelType w:val="hybridMultilevel"/>
    <w:tmpl w:val="17707FA2"/>
    <w:lvl w:ilvl="0" w:tplc="9E1C11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274AE1"/>
    <w:multiLevelType w:val="hybridMultilevel"/>
    <w:tmpl w:val="2BF84CE0"/>
    <w:lvl w:ilvl="0" w:tplc="A4FE19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2DC4E37"/>
    <w:multiLevelType w:val="multilevel"/>
    <w:tmpl w:val="ADF2CD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85B3CDA"/>
    <w:multiLevelType w:val="hybridMultilevel"/>
    <w:tmpl w:val="A574C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2B75B9"/>
    <w:multiLevelType w:val="multilevel"/>
    <w:tmpl w:val="0170A02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7D0C77AC"/>
    <w:multiLevelType w:val="multilevel"/>
    <w:tmpl w:val="844E35DC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9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num w:numId="1">
    <w:abstractNumId w:val="19"/>
  </w:num>
  <w:num w:numId="2">
    <w:abstractNumId w:val="23"/>
  </w:num>
  <w:num w:numId="3">
    <w:abstractNumId w:val="9"/>
  </w:num>
  <w:num w:numId="4">
    <w:abstractNumId w:val="1"/>
  </w:num>
  <w:num w:numId="5">
    <w:abstractNumId w:val="14"/>
  </w:num>
  <w:num w:numId="6">
    <w:abstractNumId w:val="15"/>
  </w:num>
  <w:num w:numId="7">
    <w:abstractNumId w:val="5"/>
  </w:num>
  <w:num w:numId="8">
    <w:abstractNumId w:val="8"/>
  </w:num>
  <w:num w:numId="9">
    <w:abstractNumId w:val="13"/>
  </w:num>
  <w:num w:numId="10">
    <w:abstractNumId w:val="4"/>
  </w:num>
  <w:num w:numId="11">
    <w:abstractNumId w:val="3"/>
  </w:num>
  <w:num w:numId="12">
    <w:abstractNumId w:val="11"/>
  </w:num>
  <w:num w:numId="13">
    <w:abstractNumId w:val="22"/>
  </w:num>
  <w:num w:numId="14">
    <w:abstractNumId w:val="18"/>
  </w:num>
  <w:num w:numId="15">
    <w:abstractNumId w:val="20"/>
  </w:num>
  <w:num w:numId="16">
    <w:abstractNumId w:val="0"/>
  </w:num>
  <w:num w:numId="17">
    <w:abstractNumId w:val="24"/>
  </w:num>
  <w:num w:numId="18">
    <w:abstractNumId w:val="7"/>
  </w:num>
  <w:num w:numId="19">
    <w:abstractNumId w:val="10"/>
  </w:num>
  <w:num w:numId="20">
    <w:abstractNumId w:val="12"/>
  </w:num>
  <w:num w:numId="21">
    <w:abstractNumId w:val="16"/>
  </w:num>
  <w:num w:numId="22">
    <w:abstractNumId w:val="6"/>
  </w:num>
  <w:num w:numId="23">
    <w:abstractNumId w:val="2"/>
  </w:num>
  <w:num w:numId="24">
    <w:abstractNumId w:val="21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E49"/>
    <w:rsid w:val="00166E49"/>
    <w:rsid w:val="009819B5"/>
    <w:rsid w:val="00F47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8FAEEA-7AC2-4D10-AD8D-D2AFC4C79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2"/>
    <w:uiPriority w:val="9"/>
    <w:qFormat/>
    <w:rsid w:val="00166E49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rsid w:val="00166E49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66E49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66E49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basedOn w:val="a0"/>
    <w:link w:val="10"/>
    <w:uiPriority w:val="9"/>
    <w:rsid w:val="00166E4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1">
    <w:name w:val="Заголовок 2 Знак"/>
    <w:basedOn w:val="a0"/>
    <w:link w:val="20"/>
    <w:uiPriority w:val="9"/>
    <w:rsid w:val="00166E4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66E4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166E49"/>
    <w:rPr>
      <w:rFonts w:asciiTheme="majorHAnsi" w:eastAsiaTheme="majorEastAsia" w:hAnsiTheme="majorHAnsi" w:cstheme="majorBidi"/>
      <w:color w:val="1F4D78" w:themeColor="accent1" w:themeShade="7F"/>
    </w:rPr>
  </w:style>
  <w:style w:type="numbering" w:customStyle="1" w:styleId="13">
    <w:name w:val="Нет списка1"/>
    <w:next w:val="a2"/>
    <w:uiPriority w:val="99"/>
    <w:semiHidden/>
    <w:unhideWhenUsed/>
    <w:rsid w:val="00166E49"/>
  </w:style>
  <w:style w:type="paragraph" w:customStyle="1" w:styleId="ConsPlusNormal">
    <w:name w:val="ConsPlusNormal"/>
    <w:link w:val="ConsPlusNormal0"/>
    <w:qFormat/>
    <w:rsid w:val="00166E4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166E49"/>
    <w:rPr>
      <w:rFonts w:ascii="Arial" w:eastAsia="Calibri" w:hAnsi="Arial" w:cs="Arial"/>
    </w:rPr>
  </w:style>
  <w:style w:type="paragraph" w:styleId="a3">
    <w:name w:val="footnote text"/>
    <w:basedOn w:val="a"/>
    <w:link w:val="a4"/>
    <w:unhideWhenUsed/>
    <w:rsid w:val="00166E49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166E49"/>
    <w:rPr>
      <w:sz w:val="20"/>
      <w:szCs w:val="20"/>
    </w:rPr>
  </w:style>
  <w:style w:type="character" w:styleId="a5">
    <w:name w:val="footnote reference"/>
    <w:basedOn w:val="a0"/>
    <w:semiHidden/>
    <w:unhideWhenUsed/>
    <w:rsid w:val="00166E49"/>
    <w:rPr>
      <w:vertAlign w:val="superscript"/>
    </w:rPr>
  </w:style>
  <w:style w:type="paragraph" w:styleId="a6">
    <w:name w:val="List Paragraph"/>
    <w:basedOn w:val="a"/>
    <w:uiPriority w:val="34"/>
    <w:qFormat/>
    <w:rsid w:val="00166E49"/>
    <w:pPr>
      <w:spacing w:after="200" w:line="276" w:lineRule="auto"/>
      <w:ind w:left="720"/>
      <w:contextualSpacing/>
    </w:pPr>
  </w:style>
  <w:style w:type="character" w:styleId="a7">
    <w:name w:val="Hyperlink"/>
    <w:uiPriority w:val="99"/>
    <w:unhideWhenUsed/>
    <w:rsid w:val="00166E49"/>
    <w:rPr>
      <w:color w:val="0000FF"/>
      <w:u w:val="single"/>
    </w:rPr>
  </w:style>
  <w:style w:type="character" w:styleId="a8">
    <w:name w:val="annotation reference"/>
    <w:basedOn w:val="a0"/>
    <w:uiPriority w:val="99"/>
    <w:semiHidden/>
    <w:unhideWhenUsed/>
    <w:rsid w:val="00166E4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66E49"/>
    <w:pPr>
      <w:spacing w:after="200"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66E49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66E4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66E49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166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66E49"/>
    <w:rPr>
      <w:rFonts w:ascii="Tahoma" w:hAnsi="Tahoma" w:cs="Tahoma"/>
      <w:sz w:val="16"/>
      <w:szCs w:val="16"/>
    </w:rPr>
  </w:style>
  <w:style w:type="paragraph" w:customStyle="1" w:styleId="111">
    <w:name w:val="Рег. 1.1.1"/>
    <w:basedOn w:val="a"/>
    <w:qFormat/>
    <w:rsid w:val="00166E49"/>
    <w:pPr>
      <w:numPr>
        <w:ilvl w:val="2"/>
        <w:numId w:val="6"/>
      </w:numPr>
      <w:spacing w:after="0" w:line="276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166E49"/>
    <w:pPr>
      <w:numPr>
        <w:ilvl w:val="1"/>
        <w:numId w:val="6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2">
    <w:name w:val="СТИЛЬ АР 2 подраздел"/>
    <w:basedOn w:val="a"/>
    <w:qFormat/>
    <w:rsid w:val="00166E49"/>
    <w:pPr>
      <w:numPr>
        <w:numId w:val="6"/>
      </w:numPr>
      <w:autoSpaceDE w:val="0"/>
      <w:autoSpaceDN w:val="0"/>
      <w:adjustRightInd w:val="0"/>
      <w:spacing w:after="0" w:line="240" w:lineRule="auto"/>
      <w:ind w:left="0" w:firstLine="0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1">
    <w:name w:val="Рег. Списки 1)"/>
    <w:basedOn w:val="a"/>
    <w:qFormat/>
    <w:rsid w:val="00166E49"/>
    <w:pPr>
      <w:numPr>
        <w:numId w:val="9"/>
      </w:numPr>
      <w:autoSpaceDE w:val="0"/>
      <w:autoSpaceDN w:val="0"/>
      <w:adjustRightInd w:val="0"/>
      <w:spacing w:after="0" w:line="276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2-">
    <w:name w:val="Рег. Заголовок 2-го уровня регламента"/>
    <w:basedOn w:val="ConsPlusNormal"/>
    <w:link w:val="2-0"/>
    <w:autoRedefine/>
    <w:qFormat/>
    <w:rsid w:val="00166E49"/>
    <w:pPr>
      <w:ind w:left="4536"/>
      <w:outlineLvl w:val="1"/>
    </w:pPr>
    <w:rPr>
      <w:rFonts w:ascii="Times New Roman" w:hAnsi="Times New Roman" w:cs="Times New Roman"/>
      <w:bCs/>
      <w:sz w:val="28"/>
      <w:szCs w:val="28"/>
    </w:rPr>
  </w:style>
  <w:style w:type="character" w:customStyle="1" w:styleId="2-0">
    <w:name w:val="Рег. Заголовок 2-го уровня регламента Знак"/>
    <w:basedOn w:val="ConsPlusNormal0"/>
    <w:link w:val="2-"/>
    <w:rsid w:val="00166E49"/>
    <w:rPr>
      <w:rFonts w:ascii="Times New Roman" w:eastAsia="Calibri" w:hAnsi="Times New Roman" w:cs="Times New Roman"/>
      <w:bCs/>
      <w:sz w:val="28"/>
      <w:szCs w:val="28"/>
    </w:rPr>
  </w:style>
  <w:style w:type="paragraph" w:styleId="af">
    <w:name w:val="header"/>
    <w:basedOn w:val="a"/>
    <w:link w:val="af0"/>
    <w:uiPriority w:val="99"/>
    <w:unhideWhenUsed/>
    <w:rsid w:val="00166E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66E49"/>
  </w:style>
  <w:style w:type="paragraph" w:styleId="af1">
    <w:name w:val="footer"/>
    <w:basedOn w:val="a"/>
    <w:link w:val="af2"/>
    <w:uiPriority w:val="99"/>
    <w:unhideWhenUsed/>
    <w:rsid w:val="00166E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66E49"/>
  </w:style>
  <w:style w:type="paragraph" w:customStyle="1" w:styleId="af3">
    <w:name w:val="обычный приложения"/>
    <w:basedOn w:val="a"/>
    <w:link w:val="af4"/>
    <w:qFormat/>
    <w:rsid w:val="00166E49"/>
    <w:pPr>
      <w:spacing w:after="200" w:line="276" w:lineRule="auto"/>
      <w:jc w:val="center"/>
    </w:pPr>
    <w:rPr>
      <w:rFonts w:ascii="Times New Roman" w:eastAsia="Calibri" w:hAnsi="Times New Roman" w:cs="Times New Roman"/>
      <w:b/>
      <w:sz w:val="24"/>
    </w:rPr>
  </w:style>
  <w:style w:type="paragraph" w:styleId="af5">
    <w:name w:val="No Spacing"/>
    <w:aliases w:val="Приложение АР"/>
    <w:basedOn w:val="10"/>
    <w:next w:val="2-"/>
    <w:link w:val="af6"/>
    <w:qFormat/>
    <w:rsid w:val="00166E49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color w:val="auto"/>
      <w:sz w:val="24"/>
      <w:szCs w:val="22"/>
      <w:lang w:val="x-none"/>
    </w:rPr>
  </w:style>
  <w:style w:type="paragraph" w:customStyle="1" w:styleId="14">
    <w:name w:val="АР Прил1"/>
    <w:basedOn w:val="af5"/>
    <w:link w:val="15"/>
    <w:qFormat/>
    <w:rsid w:val="00166E49"/>
    <w:pPr>
      <w:spacing w:after="0"/>
      <w:ind w:firstLine="4820"/>
      <w:jc w:val="left"/>
    </w:pPr>
    <w:rPr>
      <w:b w:val="0"/>
    </w:rPr>
  </w:style>
  <w:style w:type="paragraph" w:customStyle="1" w:styleId="22">
    <w:name w:val="АР Прил 2"/>
    <w:basedOn w:val="af3"/>
    <w:link w:val="23"/>
    <w:qFormat/>
    <w:rsid w:val="00166E49"/>
  </w:style>
  <w:style w:type="character" w:customStyle="1" w:styleId="af6">
    <w:name w:val="Без интервала Знак"/>
    <w:aliases w:val="Приложение АР Знак"/>
    <w:basedOn w:val="a0"/>
    <w:link w:val="af5"/>
    <w:rsid w:val="00166E49"/>
    <w:rPr>
      <w:rFonts w:ascii="Times New Roman" w:eastAsia="Times New Roman" w:hAnsi="Times New Roman" w:cs="Times New Roman"/>
      <w:b/>
      <w:bCs/>
      <w:iCs/>
      <w:sz w:val="24"/>
      <w:lang w:val="x-none"/>
    </w:rPr>
  </w:style>
  <w:style w:type="character" w:customStyle="1" w:styleId="15">
    <w:name w:val="АР Прил1 Знак"/>
    <w:basedOn w:val="af6"/>
    <w:link w:val="14"/>
    <w:rsid w:val="00166E49"/>
    <w:rPr>
      <w:rFonts w:ascii="Times New Roman" w:eastAsia="Times New Roman" w:hAnsi="Times New Roman" w:cs="Times New Roman"/>
      <w:b w:val="0"/>
      <w:bCs/>
      <w:iCs/>
      <w:sz w:val="24"/>
      <w:lang w:val="x-none"/>
    </w:rPr>
  </w:style>
  <w:style w:type="character" w:customStyle="1" w:styleId="af4">
    <w:name w:val="обычный приложения Знак"/>
    <w:basedOn w:val="a0"/>
    <w:link w:val="af3"/>
    <w:rsid w:val="00166E49"/>
    <w:rPr>
      <w:rFonts w:ascii="Times New Roman" w:eastAsia="Calibri" w:hAnsi="Times New Roman" w:cs="Times New Roman"/>
      <w:b/>
      <w:sz w:val="24"/>
    </w:rPr>
  </w:style>
  <w:style w:type="character" w:customStyle="1" w:styleId="23">
    <w:name w:val="АР Прил 2 Знак"/>
    <w:basedOn w:val="af4"/>
    <w:link w:val="22"/>
    <w:rsid w:val="00166E49"/>
    <w:rPr>
      <w:rFonts w:ascii="Times New Roman" w:eastAsia="Calibri" w:hAnsi="Times New Roman" w:cs="Times New Roman"/>
      <w:b/>
      <w:sz w:val="24"/>
    </w:rPr>
  </w:style>
  <w:style w:type="table" w:styleId="af7">
    <w:name w:val="Table Grid"/>
    <w:basedOn w:val="a1"/>
    <w:uiPriority w:val="59"/>
    <w:rsid w:val="00166E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Revision"/>
    <w:hidden/>
    <w:uiPriority w:val="99"/>
    <w:semiHidden/>
    <w:rsid w:val="00166E49"/>
    <w:pPr>
      <w:spacing w:after="0" w:line="240" w:lineRule="auto"/>
    </w:pPr>
  </w:style>
  <w:style w:type="character" w:customStyle="1" w:styleId="blk">
    <w:name w:val="blk"/>
    <w:rsid w:val="00166E49"/>
    <w:rPr>
      <w:rFonts w:cs="Times New Roman"/>
    </w:rPr>
  </w:style>
  <w:style w:type="paragraph" w:customStyle="1" w:styleId="16">
    <w:name w:val="Цитата1"/>
    <w:basedOn w:val="a"/>
    <w:rsid w:val="00166E49"/>
    <w:pPr>
      <w:spacing w:after="240" w:line="480" w:lineRule="auto"/>
      <w:ind w:left="540" w:right="588" w:firstLine="360"/>
      <w:jc w:val="center"/>
    </w:pPr>
    <w:rPr>
      <w:rFonts w:ascii="Calibri" w:eastAsia="Times New Roman" w:hAnsi="Calibri" w:cs="Calibri"/>
      <w:color w:val="000000"/>
      <w:lang w:val="en-US" w:eastAsia="zh-CN" w:bidi="en-US"/>
    </w:rPr>
  </w:style>
  <w:style w:type="paragraph" w:customStyle="1" w:styleId="af9">
    <w:name w:val="Рег. Обычный с отступом"/>
    <w:basedOn w:val="a"/>
    <w:qFormat/>
    <w:rsid w:val="00166E49"/>
    <w:pPr>
      <w:suppressAutoHyphens/>
      <w:autoSpaceDE w:val="0"/>
      <w:autoSpaceDN w:val="0"/>
      <w:adjustRightInd w:val="0"/>
      <w:spacing w:after="0" w:line="276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table" w:customStyle="1" w:styleId="17">
    <w:name w:val="Сетка таблицы1"/>
    <w:basedOn w:val="a1"/>
    <w:next w:val="af7"/>
    <w:uiPriority w:val="59"/>
    <w:rsid w:val="00166E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166E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66E49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paragraph" w:styleId="afa">
    <w:name w:val="TOC Heading"/>
    <w:basedOn w:val="10"/>
    <w:next w:val="a"/>
    <w:uiPriority w:val="39"/>
    <w:unhideWhenUsed/>
    <w:qFormat/>
    <w:rsid w:val="00166E49"/>
    <w:pPr>
      <w:outlineLvl w:val="9"/>
    </w:pPr>
    <w:rPr>
      <w:lang w:eastAsia="ru-RU"/>
    </w:rPr>
  </w:style>
  <w:style w:type="paragraph" w:styleId="24">
    <w:name w:val="toc 2"/>
    <w:basedOn w:val="a"/>
    <w:next w:val="a"/>
    <w:autoRedefine/>
    <w:uiPriority w:val="39"/>
    <w:unhideWhenUsed/>
    <w:qFormat/>
    <w:rsid w:val="00166E49"/>
    <w:pPr>
      <w:tabs>
        <w:tab w:val="right" w:leader="dot" w:pos="9344"/>
      </w:tabs>
      <w:spacing w:after="100" w:line="276" w:lineRule="auto"/>
      <w:ind w:left="220"/>
      <w:jc w:val="both"/>
    </w:pPr>
    <w:rPr>
      <w:rFonts w:ascii="Times New Roman" w:eastAsiaTheme="majorEastAsia" w:hAnsi="Times New Roman" w:cs="Times New Roman"/>
      <w:noProof/>
      <w:lang w:eastAsia="ru-RU"/>
    </w:rPr>
  </w:style>
  <w:style w:type="paragraph" w:styleId="18">
    <w:name w:val="toc 1"/>
    <w:basedOn w:val="a"/>
    <w:next w:val="a"/>
    <w:autoRedefine/>
    <w:uiPriority w:val="39"/>
    <w:unhideWhenUsed/>
    <w:qFormat/>
    <w:rsid w:val="00166E49"/>
    <w:pPr>
      <w:tabs>
        <w:tab w:val="right" w:leader="dot" w:pos="9344"/>
      </w:tabs>
      <w:spacing w:after="100" w:line="276" w:lineRule="auto"/>
    </w:pPr>
    <w:rPr>
      <w:rFonts w:eastAsiaTheme="minorEastAsia"/>
      <w:lang w:eastAsia="ru-RU"/>
    </w:rPr>
  </w:style>
  <w:style w:type="paragraph" w:styleId="31">
    <w:name w:val="toc 3"/>
    <w:basedOn w:val="a"/>
    <w:next w:val="a"/>
    <w:autoRedefine/>
    <w:uiPriority w:val="39"/>
    <w:unhideWhenUsed/>
    <w:qFormat/>
    <w:rsid w:val="00166E49"/>
    <w:pPr>
      <w:tabs>
        <w:tab w:val="right" w:leader="dot" w:pos="9344"/>
      </w:tabs>
      <w:spacing w:after="100" w:line="276" w:lineRule="auto"/>
      <w:ind w:left="440"/>
    </w:pPr>
    <w:rPr>
      <w:rFonts w:eastAsiaTheme="minorEastAsia"/>
      <w:lang w:eastAsia="ru-RU"/>
    </w:rPr>
  </w:style>
  <w:style w:type="paragraph" w:customStyle="1" w:styleId="afb">
    <w:name w:val="Нормальный"/>
    <w:basedOn w:val="a"/>
    <w:rsid w:val="00166E49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Theme="minorEastAsia" w:hAnsi="Times New Roman"/>
      <w:kern w:val="3"/>
      <w:sz w:val="24"/>
      <w:lang w:eastAsia="ru-RU"/>
    </w:rPr>
  </w:style>
  <w:style w:type="character" w:styleId="afc">
    <w:name w:val="Emphasis"/>
    <w:basedOn w:val="a0"/>
    <w:uiPriority w:val="20"/>
    <w:qFormat/>
    <w:rsid w:val="00166E49"/>
    <w:rPr>
      <w:i/>
      <w:iCs/>
    </w:rPr>
  </w:style>
  <w:style w:type="paragraph" w:customStyle="1" w:styleId="ConsPlusTitle">
    <w:name w:val="ConsPlusTitle"/>
    <w:rsid w:val="00166E4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3AC91435AFFCD2683BA5CD3F51AD3A2CFBF23710A7A5904DC8A07D0FD406EBF5372EC4392991A96169DFF7B4Al9eAQ" TargetMode="External"/><Relationship Id="rId5" Type="http://schemas.openxmlformats.org/officeDocument/2006/relationships/hyperlink" Target="consultantplus://offline/ref=EE8F6BA7EDD786AF65C05D4FC188C2C8C30D9C445DE8B96D700ED70E321EBB49FECF8C57C25BA4C9E45E56C2EDR4E3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8087</Words>
  <Characters>46101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2024-04-15T08:37:00Z</dcterms:created>
  <dcterms:modified xsi:type="dcterms:W3CDTF">2024-04-15T08:39:00Z</dcterms:modified>
</cp:coreProperties>
</file>